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60" w:lineRule="exact"/>
        <w:jc w:val="center"/>
        <w:outlineLvl w:val="0"/>
        <w:rPr>
          <w:rFonts w:ascii="黑体" w:hAnsi="黑体" w:eastAsia="黑体"/>
          <w:bCs/>
          <w:snapToGrid w:val="0"/>
          <w:color w:val="000000"/>
          <w:sz w:val="32"/>
          <w:szCs w:val="32"/>
        </w:rPr>
      </w:pPr>
      <w:bookmarkStart w:id="0" w:name="_Toc71213724"/>
      <w:r>
        <w:rPr>
          <w:rFonts w:hint="eastAsia" w:ascii="黑体" w:hAnsi="黑体" w:eastAsia="黑体"/>
          <w:bCs/>
          <w:snapToGrid w:val="0"/>
          <w:color w:val="000000"/>
          <w:sz w:val="32"/>
          <w:szCs w:val="32"/>
        </w:rPr>
        <w:t>第十四章 统筹发展和安全，建设更高水平平安交城</w:t>
      </w:r>
      <w:bookmarkEnd w:id="0"/>
    </w:p>
    <w:p>
      <w:pPr>
        <w:overflowPunct w:val="0"/>
        <w:adjustRightInd w:val="0"/>
        <w:snapToGrid w:val="0"/>
        <w:spacing w:line="560" w:lineRule="exact"/>
        <w:ind w:firstLine="640" w:firstLineChars="200"/>
        <w:jc w:val="both"/>
        <w:rPr>
          <w:rFonts w:hint="eastAsia" w:ascii="仿宋" w:hAnsi="仿宋" w:eastAsia="仿宋" w:cs="仿宋"/>
          <w:snapToGrid w:val="0"/>
          <w:color w:val="000000"/>
          <w:sz w:val="32"/>
          <w:szCs w:val="32"/>
        </w:rPr>
      </w:pPr>
    </w:p>
    <w:p>
      <w:pPr>
        <w:overflowPunct w:val="0"/>
        <w:adjustRightInd w:val="0"/>
        <w:snapToGrid w:val="0"/>
        <w:spacing w:line="560" w:lineRule="exact"/>
        <w:ind w:firstLine="640" w:firstLineChars="200"/>
        <w:jc w:val="both"/>
        <w:rPr>
          <w:rFonts w:hint="eastAsia" w:ascii="仿宋" w:hAnsi="仿宋" w:eastAsia="仿宋" w:cs="仿宋"/>
          <w:snapToGrid w:val="0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snapToGrid w:val="0"/>
          <w:color w:val="000000"/>
          <w:sz w:val="32"/>
          <w:szCs w:val="32"/>
        </w:rPr>
        <w:t>全面落实总体国家安全观，平安交城、法治交城建设深入推进，民主法治更加健全，社会公平正义进一步彰显。突发公共事件应急能力和防灾减灾救灾能力不断增强，防范化解重大风险体制机制逐步健全，共建共治共享社会治理格局加快形成。</w:t>
      </w:r>
    </w:p>
    <w:p>
      <w:pPr>
        <w:overflowPunct w:val="0"/>
        <w:adjustRightInd w:val="0"/>
        <w:snapToGrid w:val="0"/>
        <w:spacing w:line="560" w:lineRule="exact"/>
        <w:ind w:firstLine="640" w:firstLineChars="200"/>
        <w:jc w:val="both"/>
        <w:rPr>
          <w:rFonts w:ascii="仿宋" w:hAnsi="仿宋" w:eastAsia="仿宋" w:cs="楷体"/>
          <w:bCs/>
          <w:snapToGrid w:val="0"/>
          <w:color w:val="000000"/>
          <w:sz w:val="32"/>
          <w:szCs w:val="32"/>
        </w:rPr>
      </w:pPr>
    </w:p>
    <w:p>
      <w:pPr>
        <w:adjustRightInd w:val="0"/>
        <w:snapToGrid w:val="0"/>
        <w:spacing w:line="560" w:lineRule="exact"/>
        <w:jc w:val="center"/>
        <w:outlineLvl w:val="1"/>
        <w:rPr>
          <w:rFonts w:ascii="楷体" w:hAnsi="楷体" w:eastAsia="楷体" w:cs="楷体"/>
          <w:bCs/>
          <w:snapToGrid w:val="0"/>
          <w:color w:val="000000"/>
          <w:sz w:val="32"/>
          <w:szCs w:val="32"/>
        </w:rPr>
      </w:pPr>
      <w:bookmarkStart w:id="1" w:name="_Toc71213725"/>
      <w:r>
        <w:rPr>
          <w:rFonts w:hint="eastAsia" w:ascii="楷体" w:hAnsi="楷体" w:eastAsia="楷体" w:cs="楷体"/>
          <w:bCs/>
          <w:snapToGrid w:val="0"/>
          <w:color w:val="000000"/>
          <w:sz w:val="32"/>
          <w:szCs w:val="32"/>
        </w:rPr>
        <w:t>第一节 维护政治安全和社会稳定</w:t>
      </w:r>
      <w:bookmarkEnd w:id="1"/>
    </w:p>
    <w:p>
      <w:pPr>
        <w:pStyle w:val="4"/>
        <w:widowControl/>
        <w:adjustRightInd w:val="0"/>
        <w:snapToGrid w:val="0"/>
        <w:spacing w:beforeAutospacing="0" w:afterAutospacing="0" w:line="560" w:lineRule="exact"/>
        <w:ind w:firstLine="640" w:firstLineChars="200"/>
        <w:jc w:val="both"/>
        <w:rPr>
          <w:rFonts w:ascii="仿宋" w:hAnsi="仿宋" w:eastAsia="仿宋" w:cs="仿宋_GB2312"/>
          <w:snapToGrid w:val="0"/>
          <w:color w:val="000000"/>
          <w:sz w:val="32"/>
          <w:szCs w:val="32"/>
        </w:rPr>
      </w:pPr>
      <w:r>
        <w:rPr>
          <w:rFonts w:hint="eastAsia" w:ascii="仿宋" w:hAnsi="仿宋" w:eastAsia="仿宋" w:cs="仿宋_GB2312"/>
          <w:snapToGrid w:val="0"/>
          <w:color w:val="000000"/>
          <w:sz w:val="32"/>
          <w:szCs w:val="32"/>
        </w:rPr>
        <w:t>安全的政治环境、稳定的社会环境、公正的法治环境、优质的服务环境，才有人民群众的获得感、幸福感、安全感。</w:t>
      </w:r>
    </w:p>
    <w:p>
      <w:pPr>
        <w:pStyle w:val="4"/>
        <w:widowControl/>
        <w:adjustRightInd w:val="0"/>
        <w:snapToGrid w:val="0"/>
        <w:spacing w:beforeAutospacing="0" w:afterAutospacing="0" w:line="560" w:lineRule="exact"/>
        <w:ind w:firstLine="640" w:firstLineChars="200"/>
        <w:jc w:val="both"/>
        <w:rPr>
          <w:rFonts w:ascii="仿宋" w:hAnsi="仿宋" w:eastAsia="仿宋" w:cs="仿宋_GB2312"/>
          <w:snapToGrid w:val="0"/>
          <w:color w:val="000000"/>
          <w:sz w:val="32"/>
          <w:szCs w:val="32"/>
        </w:rPr>
      </w:pPr>
      <w:r>
        <w:rPr>
          <w:rFonts w:hint="eastAsia" w:ascii="仿宋" w:hAnsi="仿宋" w:eastAsia="仿宋" w:cs="楷体"/>
          <w:snapToGrid w:val="0"/>
          <w:color w:val="000000"/>
          <w:sz w:val="32"/>
          <w:szCs w:val="32"/>
        </w:rPr>
        <w:t>坚持党对政法工作的绝对领导</w:t>
      </w:r>
      <w:r>
        <w:rPr>
          <w:rFonts w:hint="eastAsia" w:ascii="仿宋" w:hAnsi="仿宋" w:eastAsia="仿宋" w:cs="仿宋_GB2312"/>
          <w:snapToGrid w:val="0"/>
          <w:color w:val="000000"/>
          <w:sz w:val="32"/>
          <w:szCs w:val="32"/>
        </w:rPr>
        <w:t>，必须坚持以习近平新时代中国特色社会主义思想为指导，必须坚持以人民为中心的发展思想，加快推进社会治理现代化，加快推进政法领域全面深化改革，加快推进政法队伍革命化、正规化、专业化、职业化建设。严密防范和严厉打击敌对势力渗透、破坏、颠覆、分裂活动，坚决依法严厉打击非法宗教活动。开展扫黑除恶专项斗争，严惩严重危害群众生命财产安全犯罪、危害食品药品安全犯罪、电信网络犯罪等，形成办事依法、遇事找法、解决问题用法、化解矛盾靠法的良好法治环境，提升社会治安满意度、政法队伍满意度。加强网络安全保障体系和能力建设，筑牢网络安全防线。</w:t>
      </w:r>
    </w:p>
    <w:p>
      <w:pPr>
        <w:pStyle w:val="4"/>
        <w:widowControl/>
        <w:adjustRightInd w:val="0"/>
        <w:snapToGrid w:val="0"/>
        <w:spacing w:beforeAutospacing="0" w:afterAutospacing="0" w:line="560" w:lineRule="exact"/>
        <w:ind w:firstLine="640" w:firstLineChars="200"/>
        <w:jc w:val="both"/>
        <w:rPr>
          <w:rFonts w:hint="eastAsia" w:ascii="仿宋" w:hAnsi="仿宋" w:eastAsia="仿宋" w:cs="仿宋_GB2312"/>
          <w:snapToGrid w:val="0"/>
          <w:color w:val="000000"/>
          <w:sz w:val="32"/>
          <w:szCs w:val="32"/>
        </w:rPr>
      </w:pPr>
      <w:r>
        <w:rPr>
          <w:rFonts w:hint="eastAsia" w:ascii="仿宋" w:hAnsi="仿宋" w:eastAsia="仿宋" w:cs="楷体"/>
          <w:snapToGrid w:val="0"/>
          <w:color w:val="000000"/>
          <w:sz w:val="32"/>
          <w:szCs w:val="32"/>
        </w:rPr>
        <w:t>落实安全生产责任制</w:t>
      </w:r>
      <w:r>
        <w:rPr>
          <w:rFonts w:hint="eastAsia" w:ascii="仿宋" w:hAnsi="仿宋" w:eastAsia="仿宋" w:cs="仿宋_GB2312"/>
          <w:snapToGrid w:val="0"/>
          <w:color w:val="000000"/>
          <w:sz w:val="32"/>
          <w:szCs w:val="32"/>
        </w:rPr>
        <w:t>，加强安全生产监管执法，有效防止危险化学品、建筑施工、交通、消防、森林防火等各领域重特大安全事故发生。强化食品药品安全监管，保障人民群众生命健康。持续开展金融秩序整顿，严厉打击金融犯罪。加强立体化、智能化社会治安防控体系建设，深入开展平安创建活动，依法打击各类违法犯罪，努力建设更高水平的平安交城。　</w:t>
      </w:r>
    </w:p>
    <w:p>
      <w:pPr>
        <w:rPr>
          <w:rFonts w:hint="eastAsia" w:ascii="仿宋" w:hAnsi="仿宋" w:eastAsia="仿宋"/>
          <w:sz w:val="32"/>
          <w:szCs w:val="32"/>
          <w:lang w:val="en-US" w:bidi="ar-SA"/>
        </w:rPr>
      </w:pPr>
    </w:p>
    <w:p>
      <w:pPr>
        <w:adjustRightInd w:val="0"/>
        <w:snapToGrid w:val="0"/>
        <w:spacing w:line="560" w:lineRule="exact"/>
        <w:jc w:val="center"/>
        <w:outlineLvl w:val="1"/>
        <w:rPr>
          <w:rFonts w:ascii="楷体" w:hAnsi="楷体" w:eastAsia="楷体" w:cs="楷体"/>
          <w:bCs/>
          <w:snapToGrid w:val="0"/>
          <w:color w:val="000000"/>
          <w:sz w:val="32"/>
          <w:szCs w:val="32"/>
        </w:rPr>
      </w:pPr>
      <w:bookmarkStart w:id="2" w:name="_Toc71213726"/>
      <w:r>
        <w:rPr>
          <w:rFonts w:hint="eastAsia" w:ascii="楷体" w:hAnsi="楷体" w:eastAsia="楷体" w:cs="楷体"/>
          <w:bCs/>
          <w:snapToGrid w:val="0"/>
          <w:color w:val="000000"/>
          <w:sz w:val="32"/>
          <w:szCs w:val="32"/>
        </w:rPr>
        <w:t>第二节 加快法治交城建设</w:t>
      </w:r>
      <w:bookmarkEnd w:id="2"/>
    </w:p>
    <w:p>
      <w:pPr>
        <w:pStyle w:val="4"/>
        <w:widowControl/>
        <w:adjustRightInd w:val="0"/>
        <w:snapToGrid w:val="0"/>
        <w:spacing w:beforeAutospacing="0" w:afterAutospacing="0" w:line="560" w:lineRule="exact"/>
        <w:ind w:firstLine="640" w:firstLineChars="200"/>
        <w:jc w:val="both"/>
        <w:rPr>
          <w:rFonts w:ascii="仿宋" w:hAnsi="仿宋" w:eastAsia="仿宋" w:cs="仿宋_GB2312"/>
          <w:snapToGrid w:val="0"/>
          <w:color w:val="000000"/>
          <w:sz w:val="32"/>
          <w:szCs w:val="32"/>
        </w:rPr>
      </w:pPr>
      <w:r>
        <w:rPr>
          <w:rFonts w:hint="eastAsia" w:ascii="仿宋" w:hAnsi="仿宋" w:eastAsia="仿宋" w:cs="楷体"/>
          <w:snapToGrid w:val="0"/>
          <w:color w:val="000000"/>
          <w:sz w:val="32"/>
          <w:szCs w:val="32"/>
        </w:rPr>
        <w:t>深入贯彻落实习近平法治思想</w:t>
      </w:r>
      <w:r>
        <w:rPr>
          <w:rFonts w:hint="eastAsia" w:ascii="仿宋" w:hAnsi="仿宋" w:eastAsia="仿宋" w:cs="仿宋_GB2312"/>
          <w:snapToGrid w:val="0"/>
          <w:color w:val="000000"/>
          <w:sz w:val="32"/>
          <w:szCs w:val="32"/>
        </w:rPr>
        <w:t>。深入开展“八五”普法，办好农村法治宣传大讲堂，持续开展民主法治示范村创建，推动形成尊崇宪法、学习宪法、遵守宪法、维护宪法、运用宪法的良好法治氛围。</w:t>
      </w:r>
    </w:p>
    <w:p>
      <w:pPr>
        <w:pStyle w:val="4"/>
        <w:widowControl/>
        <w:adjustRightInd w:val="0"/>
        <w:snapToGrid w:val="0"/>
        <w:spacing w:beforeAutospacing="0" w:afterAutospacing="0" w:line="560" w:lineRule="exact"/>
        <w:ind w:firstLine="640" w:firstLineChars="200"/>
        <w:jc w:val="both"/>
        <w:rPr>
          <w:rFonts w:ascii="仿宋" w:hAnsi="仿宋" w:eastAsia="仿宋" w:cs="仿宋_GB2312"/>
          <w:snapToGrid w:val="0"/>
          <w:color w:val="000000"/>
          <w:sz w:val="32"/>
          <w:szCs w:val="32"/>
        </w:rPr>
      </w:pPr>
      <w:r>
        <w:rPr>
          <w:rFonts w:hint="eastAsia" w:ascii="仿宋" w:hAnsi="仿宋" w:eastAsia="仿宋" w:cs="楷体"/>
          <w:snapToGrid w:val="0"/>
          <w:color w:val="000000"/>
          <w:sz w:val="32"/>
          <w:szCs w:val="32"/>
        </w:rPr>
        <w:t>坚持法治交城、法治政府、法治社会一体建设。</w:t>
      </w:r>
      <w:r>
        <w:rPr>
          <w:rFonts w:hint="eastAsia" w:ascii="仿宋" w:hAnsi="仿宋" w:eastAsia="仿宋" w:cs="仿宋_GB2312"/>
          <w:snapToGrid w:val="0"/>
          <w:color w:val="000000"/>
          <w:sz w:val="32"/>
          <w:szCs w:val="32"/>
        </w:rPr>
        <w:t>坚持党领导立法、保证执法、支持司法、带头守法，支持人大、政府、政协、监察机关、审判机关、检察机关依法依章程履行职责。加快法治政府建设，健全执法、司法、法律服务衔接配套的综合服务保障体系，积极营造一流的法治化营商环境。加强法治社会建设。深化“三零”单位创建，控新治旧、标本兼治，坚决守住“三个不发生”底线。构建立体化、智能化社会治安防控体系，常态化推进扫黑除恶，依法打击各类违法犯罪。开展政法队伍教育整顿，坚决清除“害群之马”，努力打造政法铁军。全面深化综合行政执法体制改革。持续深化司法体制综合配套改革，重视企业家法治教育，引导企业诚信守法经营。深入推进《宪法》、《民法典》贯彻实施，加大全民普法力度，完善覆盖城乡的公共法律服务体系。</w:t>
      </w:r>
    </w:p>
    <w:p>
      <w:pPr>
        <w:pStyle w:val="4"/>
        <w:widowControl/>
        <w:adjustRightInd w:val="0"/>
        <w:snapToGrid w:val="0"/>
        <w:spacing w:beforeAutospacing="0" w:afterAutospacing="0" w:line="560" w:lineRule="exact"/>
        <w:ind w:firstLine="640" w:firstLineChars="200"/>
        <w:jc w:val="both"/>
        <w:rPr>
          <w:rFonts w:hint="eastAsia" w:ascii="仿宋" w:hAnsi="仿宋" w:eastAsia="仿宋" w:cs="仿宋_GB2312"/>
          <w:snapToGrid w:val="0"/>
          <w:color w:val="000000"/>
          <w:sz w:val="32"/>
          <w:szCs w:val="32"/>
        </w:rPr>
      </w:pPr>
      <w:r>
        <w:rPr>
          <w:rFonts w:hint="eastAsia" w:ascii="仿宋" w:hAnsi="仿宋" w:eastAsia="仿宋" w:cs="楷体"/>
          <w:snapToGrid w:val="0"/>
          <w:color w:val="000000"/>
          <w:sz w:val="32"/>
          <w:szCs w:val="32"/>
        </w:rPr>
        <w:t>创新社会治理</w:t>
      </w:r>
      <w:r>
        <w:rPr>
          <w:rFonts w:hint="eastAsia" w:ascii="仿宋" w:hAnsi="仿宋" w:eastAsia="仿宋" w:cs="仿宋_GB2312"/>
          <w:snapToGrid w:val="0"/>
          <w:color w:val="000000"/>
          <w:sz w:val="32"/>
          <w:szCs w:val="32"/>
        </w:rPr>
        <w:t>。运用新时代“枫桥经验”，深入推进“三治”融合，就地化解矛盾纠纷，实现小事不出村、大事不出乡、矛盾不上交。健全社会心理服务体系和危机干预机制，做好邻里、生活等矛盾化解，防止小拖大、民转刑，全面维护社会稳定。探索构建党建引领县域现代化治理新路子。推动县域治理重心向基层下移，向基层放权赋能，构建权责明确、服务为先、管理优化、执法规范、安全有序的县域治理体制。健全党组织领导的自治、法治、德治相融合的城乡基层治理体系，完善抓人促事、抓乡促县的基层工作推进机制，建设人人有责、人人尽责、人人享有的社会治理共同体。健全完善城乡社区管理和服务机制，加强基层民主协商，实现政府治理和社会调节、居民自治的良性互动。发挥群团组织和社会组织作用，畅通和规范市场主体、新社会阶层、社会工作者和志愿者等参与社会治理途径。</w:t>
      </w:r>
    </w:p>
    <w:p>
      <w:pPr>
        <w:rPr>
          <w:rFonts w:hint="eastAsia" w:ascii="仿宋" w:hAnsi="仿宋" w:eastAsia="仿宋"/>
          <w:sz w:val="32"/>
          <w:szCs w:val="32"/>
          <w:lang w:val="en-US" w:bidi="ar-SA"/>
        </w:rPr>
      </w:pPr>
    </w:p>
    <w:p>
      <w:pPr>
        <w:adjustRightInd w:val="0"/>
        <w:snapToGrid w:val="0"/>
        <w:spacing w:line="560" w:lineRule="exact"/>
        <w:jc w:val="center"/>
        <w:outlineLvl w:val="1"/>
        <w:rPr>
          <w:rFonts w:ascii="楷体" w:hAnsi="楷体" w:eastAsia="楷体" w:cs="楷体"/>
          <w:bCs/>
          <w:snapToGrid w:val="0"/>
          <w:color w:val="000000"/>
          <w:sz w:val="32"/>
          <w:szCs w:val="32"/>
        </w:rPr>
      </w:pPr>
      <w:bookmarkStart w:id="3" w:name="_Toc71213727"/>
      <w:r>
        <w:rPr>
          <w:rFonts w:hint="eastAsia" w:ascii="楷体" w:hAnsi="楷体" w:eastAsia="楷体" w:cs="楷体"/>
          <w:bCs/>
          <w:snapToGrid w:val="0"/>
          <w:color w:val="000000"/>
          <w:sz w:val="32"/>
          <w:szCs w:val="32"/>
        </w:rPr>
        <w:t>第三节 加强应急管理建设</w:t>
      </w:r>
      <w:bookmarkEnd w:id="3"/>
    </w:p>
    <w:p>
      <w:pPr>
        <w:adjustRightInd w:val="0"/>
        <w:snapToGrid w:val="0"/>
        <w:spacing w:line="560" w:lineRule="exact"/>
        <w:ind w:firstLine="640" w:firstLineChars="200"/>
        <w:jc w:val="both"/>
        <w:rPr>
          <w:rFonts w:ascii="仿宋" w:hAnsi="仿宋" w:eastAsia="仿宋" w:cs="仿宋_GB2312"/>
          <w:snapToGrid w:val="0"/>
          <w:color w:val="000000"/>
          <w:sz w:val="32"/>
          <w:szCs w:val="32"/>
        </w:rPr>
      </w:pPr>
      <w:r>
        <w:rPr>
          <w:rFonts w:hint="eastAsia" w:ascii="仿宋" w:hAnsi="仿宋" w:eastAsia="仿宋" w:cs="仿宋_GB2312"/>
          <w:snapToGrid w:val="0"/>
          <w:color w:val="000000"/>
          <w:sz w:val="32"/>
          <w:szCs w:val="32"/>
        </w:rPr>
        <w:t>应急管理是国家治理体系和治理能力的重要组成部分，承担防范化解重大安全风险、及时应对处置各类灾害事故的重要职责，担负保护人民群众生命财产安全和维护社会稳定的重要使命。</w:t>
      </w:r>
    </w:p>
    <w:p>
      <w:pPr>
        <w:pStyle w:val="3"/>
        <w:adjustRightInd w:val="0"/>
        <w:snapToGrid w:val="0"/>
        <w:spacing w:line="560" w:lineRule="exact"/>
        <w:ind w:left="0" w:leftChars="0" w:firstLine="640" w:firstLineChars="200"/>
        <w:rPr>
          <w:rFonts w:ascii="仿宋" w:hAnsi="仿宋" w:eastAsia="仿宋" w:cs="仿宋_GB2312"/>
          <w:snapToGrid w:val="0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楷体"/>
          <w:snapToGrid w:val="0"/>
          <w:color w:val="000000"/>
          <w:kern w:val="0"/>
          <w:sz w:val="32"/>
          <w:szCs w:val="32"/>
        </w:rPr>
        <w:t>加强源头管控</w:t>
      </w:r>
      <w:r>
        <w:rPr>
          <w:rFonts w:hint="eastAsia" w:ascii="仿宋" w:hAnsi="仿宋" w:eastAsia="仿宋" w:cs="仿宋_GB2312"/>
          <w:snapToGrid w:val="0"/>
          <w:color w:val="000000"/>
          <w:kern w:val="0"/>
          <w:sz w:val="32"/>
          <w:szCs w:val="32"/>
        </w:rPr>
        <w:t>。强化风险隐患排查治理机制，坚持从源头上防范化解重大安全风险，加快推进安全生产领域突出问题整改，强化监管执法力度，认真落实企业安全生产主体责任；加强地质灾害、水旱灾害等自然灾害的工程性治理和防范工作；健全风险防范化解机制，建立应急管理信息化综合应用平台，强化突发事件预防与应急准备、监测与预警、应急处置与救援、恢复与重建等工作衔接机制与协同机制。加强风险评估和监测预警，加强对道路交通、消防、建筑施工、危化品等重点行业领域的安全风险排查，提升多灾种和灾害链综合监测、风险早期识别和预报预警能力。</w:t>
      </w:r>
    </w:p>
    <w:p>
      <w:pPr>
        <w:adjustRightInd w:val="0"/>
        <w:snapToGrid w:val="0"/>
        <w:spacing w:line="560" w:lineRule="exact"/>
        <w:ind w:firstLine="640" w:firstLineChars="200"/>
        <w:jc w:val="both"/>
        <w:rPr>
          <w:rFonts w:ascii="仿宋" w:hAnsi="仿宋" w:eastAsia="仿宋" w:cs="仿宋_GB2312"/>
          <w:snapToGrid w:val="0"/>
          <w:color w:val="000000"/>
          <w:sz w:val="32"/>
          <w:szCs w:val="32"/>
        </w:rPr>
      </w:pPr>
      <w:r>
        <w:rPr>
          <w:rFonts w:hint="eastAsia" w:ascii="仿宋" w:hAnsi="仿宋" w:eastAsia="仿宋" w:cs="楷体"/>
          <w:snapToGrid w:val="0"/>
          <w:color w:val="000000"/>
          <w:sz w:val="32"/>
          <w:szCs w:val="32"/>
        </w:rPr>
        <w:t>实施安全生产专项行动</w:t>
      </w:r>
      <w:r>
        <w:rPr>
          <w:rFonts w:hint="eastAsia" w:ascii="仿宋" w:hAnsi="仿宋" w:eastAsia="仿宋" w:cs="仿宋_GB2312"/>
          <w:snapToGrid w:val="0"/>
          <w:color w:val="000000"/>
          <w:sz w:val="32"/>
          <w:szCs w:val="32"/>
        </w:rPr>
        <w:t>。深入学习习近平总书记关于安全生产、防灾减灾工作的重要论述和指示批示精神，深化安全责任体系建设，全面提升依法治安能力水平；严格落实全国安全生产专项整治三年行动决策部署；进一步压实企业主体责任，持续推进重点行业领域攻坚治理，强化风险隐患排查治理和双重预防机制建设；强化科学技术引领，提升科技兴交发展水平；强化基础配套建设，夯实安全生产基层基础，协调推进“五员队伍”建设。强化宣教体系建设，提升全民整体安全素质。</w:t>
      </w:r>
    </w:p>
    <w:p>
      <w:pPr>
        <w:adjustRightInd w:val="0"/>
        <w:snapToGrid w:val="0"/>
        <w:spacing w:line="560" w:lineRule="exact"/>
        <w:ind w:firstLine="640" w:firstLineChars="200"/>
        <w:jc w:val="both"/>
        <w:rPr>
          <w:rFonts w:ascii="仿宋" w:hAnsi="仿宋" w:eastAsia="仿宋" w:cs="仿宋_GB2312"/>
          <w:snapToGrid w:val="0"/>
          <w:color w:val="000000"/>
          <w:sz w:val="32"/>
          <w:szCs w:val="32"/>
        </w:rPr>
      </w:pPr>
      <w:r>
        <w:rPr>
          <w:rFonts w:hint="eastAsia" w:ascii="仿宋" w:hAnsi="仿宋" w:eastAsia="仿宋" w:cs="楷体"/>
          <w:snapToGrid w:val="0"/>
          <w:color w:val="000000"/>
          <w:sz w:val="32"/>
          <w:szCs w:val="32"/>
        </w:rPr>
        <w:t>提升防灾减灾能力</w:t>
      </w:r>
      <w:r>
        <w:rPr>
          <w:rFonts w:hint="eastAsia" w:ascii="仿宋" w:hAnsi="仿宋" w:eastAsia="仿宋" w:cs="仿宋_GB2312"/>
          <w:snapToGrid w:val="0"/>
          <w:color w:val="000000"/>
          <w:sz w:val="32"/>
          <w:szCs w:val="32"/>
        </w:rPr>
        <w:t>。完善综合监测预警机制，加强三防应急体系建设；建立健全灾害救助平台，完善自然灾害应急救助体系建设；引导社会组织积极参与减灾救灾，构建政府主导、多元联动、协同配合、有序参与的防灾减灾新格局，增强自然灾害风险防治能力；坚持预防为主、预防与应急相结合，有效应对各种突发事件；坚持树牢安全发展理念，强化底线思维和红线意识；坚持以防为主、防抗救相结合，综合减灾，统筹抵御各种自然灾害。把创新社会治理与加强基层应急管理相结合，推动应急管理工作重心下移、关口前移，以基层应急网格化管理为基础，以信息化手段为支撑，以保障人民生命财产安全为根本出发点，完善落实“从根本上消除事故隐患”的责任链条、制度成果、管理办法、重点工程和工作机制，构建覆盖到所有镇、街道、村（社区）的基层应急网格化管理服务体系。全面提升基层应急管理服务精细化、信息化和社会化水平，为全面维护好人民群众生命财产安全和经济高质量发展、社会和谐稳定提供有力保障。</w:t>
      </w:r>
    </w:p>
    <w:p>
      <w:pPr>
        <w:adjustRightInd w:val="0"/>
        <w:snapToGrid w:val="0"/>
        <w:spacing w:line="560" w:lineRule="exact"/>
        <w:ind w:firstLine="640" w:firstLineChars="200"/>
        <w:jc w:val="both"/>
        <w:rPr>
          <w:rFonts w:ascii="仿宋" w:hAnsi="仿宋" w:eastAsia="仿宋" w:cs="仿宋_GB2312"/>
          <w:snapToGrid w:val="0"/>
          <w:color w:val="000000"/>
          <w:sz w:val="32"/>
          <w:szCs w:val="32"/>
        </w:rPr>
      </w:pPr>
      <w:r>
        <w:rPr>
          <w:rFonts w:hint="eastAsia" w:ascii="仿宋" w:hAnsi="仿宋" w:eastAsia="仿宋" w:cs="楷体"/>
          <w:snapToGrid w:val="0"/>
          <w:color w:val="000000"/>
          <w:sz w:val="32"/>
          <w:szCs w:val="32"/>
        </w:rPr>
        <w:t>加强应急救援能力</w:t>
      </w:r>
      <w:r>
        <w:rPr>
          <w:rFonts w:hint="eastAsia" w:ascii="仿宋" w:hAnsi="仿宋" w:eastAsia="仿宋" w:cs="仿宋_GB2312"/>
          <w:snapToGrid w:val="0"/>
          <w:color w:val="000000"/>
          <w:sz w:val="32"/>
          <w:szCs w:val="32"/>
        </w:rPr>
        <w:t>。统筹加强应急救援队伍建设，完善县、乡（镇）两级卫生应急救援队伍装备、设备、培训、演练和保障能力建设，提高应急救援队伍的机动能力和快速反应水平。加强应急指挥体系建设，完善应急指挥体系和运行机制，规范应急预案动态管理，强化应急演练，推进应急管理信息化建设，以交城县应急指挥中心为依托，加快应急平台系统建设。深化基层应急管理体制改革，实施基层应急管理能力提升工程。推进紧急医学救援工程建设，不断增强应急实战能力，加强应急救灾物资储备能力建设，推进应急物资储备和管理，完善应急物资保障系统。推进应急避难场所建设。加强信息发布和舆情引导。</w:t>
      </w:r>
    </w:p>
    <w:p>
      <w:pPr>
        <w:adjustRightInd w:val="0"/>
        <w:snapToGrid w:val="0"/>
        <w:spacing w:line="560" w:lineRule="exact"/>
        <w:ind w:firstLine="640" w:firstLineChars="200"/>
        <w:jc w:val="both"/>
        <w:rPr>
          <w:rFonts w:ascii="仿宋" w:hAnsi="仿宋" w:eastAsia="仿宋" w:cs="仿宋_GB2312"/>
          <w:snapToGrid w:val="0"/>
          <w:color w:val="000000"/>
          <w:sz w:val="32"/>
          <w:szCs w:val="32"/>
        </w:rPr>
      </w:pPr>
      <w:r>
        <w:rPr>
          <w:rFonts w:hint="eastAsia" w:ascii="仿宋" w:hAnsi="仿宋" w:eastAsia="仿宋" w:cs="楷体"/>
          <w:snapToGrid w:val="0"/>
          <w:color w:val="000000"/>
          <w:sz w:val="32"/>
          <w:szCs w:val="32"/>
        </w:rPr>
        <w:t>强化改革创新</w:t>
      </w:r>
      <w:r>
        <w:rPr>
          <w:rFonts w:hint="eastAsia" w:ascii="仿宋" w:hAnsi="仿宋" w:eastAsia="仿宋" w:cs="仿宋_GB2312"/>
          <w:bCs/>
          <w:snapToGrid w:val="0"/>
          <w:color w:val="000000"/>
          <w:sz w:val="32"/>
          <w:szCs w:val="32"/>
        </w:rPr>
        <w:t>。</w:t>
      </w:r>
      <w:r>
        <w:rPr>
          <w:rFonts w:hint="eastAsia" w:ascii="仿宋" w:hAnsi="仿宋" w:eastAsia="仿宋" w:cs="仿宋_GB2312"/>
          <w:snapToGrid w:val="0"/>
          <w:color w:val="000000"/>
          <w:sz w:val="32"/>
          <w:szCs w:val="32"/>
        </w:rPr>
        <w:t>一是全面深化传统行业领域技术革新与设备升级改造，特别是粉尘涉爆、危化品、建筑施工、有限空间作业等传统高危行业，着力推进“机械化换人、自动化减员”工程项目，积极推广可有效降低安全风险的新工艺、新设备、新材料。二是全面推广重点行业领域风险监测预警科技手段，探讨组建城市安全风险监测预警中心，探索运用光纤传感、智能雷达、视频识别等先进技术，实现城市安全风险（如公共交通、边坡、地下管网等基础设施）的自动识别、检测预警及报警处置一体化、智能化管理。三是依托智慧城市建设推进我县应急平台系统建设，充分利用“互联网+”、物联网、云计算和5G信息技术等先进科技手段，提升应急管理的科技含量和智能化水平。</w:t>
      </w:r>
    </w:p>
    <w:p>
      <w:pPr>
        <w:adjustRightInd w:val="0"/>
        <w:snapToGrid w:val="0"/>
        <w:spacing w:line="560" w:lineRule="exact"/>
        <w:ind w:firstLine="640" w:firstLineChars="200"/>
        <w:jc w:val="both"/>
        <w:rPr>
          <w:rFonts w:ascii="仿宋" w:hAnsi="仿宋" w:eastAsia="仿宋" w:cs="仿宋_GB2312"/>
          <w:snapToGrid w:val="0"/>
          <w:color w:val="000000"/>
          <w:sz w:val="32"/>
          <w:szCs w:val="32"/>
        </w:rPr>
      </w:pPr>
      <w:r>
        <w:rPr>
          <w:rFonts w:hint="eastAsia" w:ascii="仿宋" w:hAnsi="仿宋" w:eastAsia="仿宋" w:cs="楷体"/>
          <w:snapToGrid w:val="0"/>
          <w:color w:val="000000"/>
          <w:sz w:val="32"/>
          <w:szCs w:val="32"/>
        </w:rPr>
        <w:t>培育安全文化</w:t>
      </w:r>
      <w:r>
        <w:rPr>
          <w:rFonts w:hint="eastAsia" w:ascii="仿宋" w:hAnsi="仿宋" w:eastAsia="仿宋" w:cs="仿宋_GB2312"/>
          <w:snapToGrid w:val="0"/>
          <w:color w:val="000000"/>
          <w:sz w:val="32"/>
          <w:szCs w:val="32"/>
        </w:rPr>
        <w:t>。一是提升各级监管执法人员的业务水平，特别是一线执法人员，强化相关法律法规、标准规范、风险管理、安全技术、事故案例分析等相关内容学习。二是强化企业各级人员的培训，探索开发针对企业不同岗位员工的线上、线下多种培训课程，拓展安全知识获取渠道，着重关注企业主要负责人、安全管理员、第一风险人的业务提升。三是提升社会公众安全意识。加快推进建设“交城应急”微信公众号和微视官方账号，通过多形式开展安全宣传教育，推动安全教育进企业、进社区、进学校、进机关、进家庭，普及安全知识，培育安全文化。</w:t>
      </w:r>
    </w:p>
    <w:p>
      <w:pPr>
        <w:adjustRightInd w:val="0"/>
        <w:snapToGrid w:val="0"/>
        <w:spacing w:line="560" w:lineRule="exact"/>
        <w:ind w:firstLine="640" w:firstLineChars="200"/>
        <w:jc w:val="both"/>
        <w:rPr>
          <w:rFonts w:ascii="仿宋" w:hAnsi="仿宋" w:eastAsia="仿宋" w:cs="仿宋_GB2312"/>
          <w:snapToGrid w:val="0"/>
          <w:color w:val="000000"/>
          <w:sz w:val="32"/>
          <w:szCs w:val="32"/>
        </w:rPr>
      </w:pPr>
      <w:r>
        <w:rPr>
          <w:rFonts w:hint="eastAsia" w:ascii="仿宋" w:hAnsi="仿宋" w:eastAsia="仿宋" w:cs="楷体"/>
          <w:snapToGrid w:val="0"/>
          <w:color w:val="000000"/>
          <w:sz w:val="32"/>
          <w:szCs w:val="32"/>
        </w:rPr>
        <w:t>加强应急工程建设</w:t>
      </w:r>
      <w:r>
        <w:rPr>
          <w:rFonts w:hint="eastAsia" w:ascii="仿宋" w:hAnsi="仿宋" w:eastAsia="仿宋" w:cs="仿宋_GB2312"/>
          <w:snapToGrid w:val="0"/>
          <w:color w:val="000000"/>
          <w:sz w:val="32"/>
          <w:szCs w:val="32"/>
        </w:rPr>
        <w:t>。一是消防工程建设。在平川地区内共设9座标准型普通消防站，按标准型普通消防站的规定进行装备。二是救援通道工程。规划形成以县级—单元级（镇级）—社区级三级划分防灾疏散通道，充分利用城市道路资源，形成快速、通畅、网络化的防灾疏散通道，结合城市形态，遵循应急救援原则，构建完善的立体救援通道系统。三是紧急医学救援工程。新建我县卫生应急演练基地和县、镇医疗卫生机构智慧消防系统。提升紧急医学救援能力、医疗卫生救灾备灾能力，加强紧急医学救援队建设，推进移动医院和紧急医学救援基地建设。加强县、乡（镇）两级卫生应急救援队伍装备、设备、培训、演练和保障能力建设，提高应急救援队伍的机动能力和快速反应水平。</w:t>
      </w:r>
    </w:p>
    <w:tbl>
      <w:tblPr>
        <w:tblStyle w:val="5"/>
        <w:tblpPr w:leftFromText="180" w:rightFromText="180" w:vertAnchor="text" w:horzAnchor="page" w:tblpXSpec="center" w:tblpY="286"/>
        <w:tblOverlap w:val="never"/>
        <w:tblW w:w="8415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15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8415" w:type="dxa"/>
            <w:noWrap w:val="0"/>
            <w:vAlign w:val="top"/>
          </w:tcPr>
          <w:p>
            <w:pPr>
              <w:adjustRightInd w:val="0"/>
              <w:snapToGrid w:val="0"/>
              <w:spacing w:line="560" w:lineRule="exact"/>
              <w:ind w:firstLine="200"/>
              <w:jc w:val="both"/>
              <w:rPr>
                <w:rFonts w:ascii="仿宋" w:hAnsi="仿宋" w:eastAsia="仿宋" w:cs="楷体"/>
                <w:bCs/>
                <w:snapToGrid w:val="0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楷体"/>
                <w:bCs/>
                <w:snapToGrid w:val="0"/>
                <w:color w:val="000000"/>
                <w:sz w:val="32"/>
                <w:szCs w:val="32"/>
              </w:rPr>
              <w:t>专栏14-1：“十四五”交城县防灾减灾项目（部分）</w:t>
            </w:r>
          </w:p>
          <w:p>
            <w:pPr>
              <w:adjustRightInd w:val="0"/>
              <w:snapToGrid w:val="0"/>
              <w:spacing w:line="560" w:lineRule="exact"/>
              <w:ind w:firstLine="200"/>
              <w:jc w:val="both"/>
              <w:rPr>
                <w:rFonts w:ascii="仿宋" w:hAnsi="仿宋" w:eastAsia="仿宋" w:cs="Times New Roman"/>
                <w:snapToGrid w:val="0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Times New Roman"/>
                <w:snapToGrid w:val="0"/>
                <w:color w:val="000000"/>
                <w:sz w:val="32"/>
                <w:szCs w:val="32"/>
              </w:rPr>
              <w:t>1.国家气象观测站建设项目。</w:t>
            </w:r>
          </w:p>
          <w:p>
            <w:pPr>
              <w:adjustRightInd w:val="0"/>
              <w:snapToGrid w:val="0"/>
              <w:spacing w:line="560" w:lineRule="exact"/>
              <w:ind w:firstLine="200"/>
              <w:jc w:val="both"/>
              <w:rPr>
                <w:rFonts w:ascii="仿宋" w:hAnsi="仿宋" w:eastAsia="仿宋" w:cs="Times New Roman"/>
                <w:snapToGrid w:val="0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Times New Roman"/>
                <w:snapToGrid w:val="0"/>
                <w:color w:val="000000"/>
                <w:sz w:val="32"/>
                <w:szCs w:val="32"/>
              </w:rPr>
              <w:t>2. 2001人防工程。</w:t>
            </w:r>
          </w:p>
        </w:tc>
      </w:tr>
    </w:tbl>
    <w:p>
      <w:bookmarkStart w:id="4" w:name="_GoBack"/>
      <w:bookmarkEnd w:id="4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3E21620"/>
    <w:rsid w:val="63E216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qFormat="1"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99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1"/>
    <w:pPr>
      <w:widowControl w:val="0"/>
      <w:autoSpaceDE w:val="0"/>
      <w:autoSpaceDN w:val="0"/>
    </w:pPr>
    <w:rPr>
      <w:rFonts w:ascii="宋体" w:hAnsi="宋体" w:eastAsia="宋体" w:cs="宋体"/>
      <w:sz w:val="22"/>
      <w:szCs w:val="22"/>
      <w:lang w:val="zh-CN" w:eastAsia="zh-CN" w:bidi="zh-CN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1"/>
    <w:qFormat/>
    <w:uiPriority w:val="99"/>
    <w:pPr>
      <w:autoSpaceDE/>
      <w:autoSpaceDN/>
      <w:jc w:val="both"/>
      <w:outlineLvl w:val="0"/>
    </w:pPr>
    <w:rPr>
      <w:rFonts w:ascii="Arial" w:hAnsi="Arial" w:cs="Arial"/>
      <w:bCs/>
      <w:kern w:val="2"/>
      <w:sz w:val="21"/>
      <w:szCs w:val="32"/>
      <w:lang w:val="en-US" w:bidi="ar-SA"/>
    </w:rPr>
  </w:style>
  <w:style w:type="paragraph" w:styleId="3">
    <w:name w:val="table of authorities"/>
    <w:basedOn w:val="1"/>
    <w:next w:val="1"/>
    <w:qFormat/>
    <w:uiPriority w:val="0"/>
    <w:pPr>
      <w:autoSpaceDE/>
      <w:autoSpaceDN/>
      <w:spacing w:line="360" w:lineRule="auto"/>
      <w:ind w:left="420" w:leftChars="200"/>
      <w:jc w:val="both"/>
    </w:pPr>
    <w:rPr>
      <w:rFonts w:ascii="Calibri" w:hAnsi="Calibri" w:cs="黑体"/>
      <w:kern w:val="2"/>
      <w:sz w:val="28"/>
      <w:lang w:val="en-US" w:bidi="ar-SA"/>
    </w:rPr>
  </w:style>
  <w:style w:type="paragraph" w:styleId="4">
    <w:name w:val="Normal (Web)"/>
    <w:basedOn w:val="1"/>
    <w:next w:val="1"/>
    <w:qFormat/>
    <w:uiPriority w:val="0"/>
    <w:pPr>
      <w:autoSpaceDE/>
      <w:autoSpaceDN/>
      <w:spacing w:beforeAutospacing="1" w:afterAutospacing="1"/>
    </w:pPr>
    <w:rPr>
      <w:rFonts w:ascii="Calibri" w:hAnsi="Calibri" w:cs="Times New Roman"/>
      <w:sz w:val="24"/>
      <w:szCs w:val="24"/>
      <w:lang w:val="en-US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2021-10-13T01:42:00Z</dcterms:created>
  <dc:creator>蜡笔小新</dc:creator>
  <cp:lastModifiedBy>蜡笔小新</cp:lastModifiedBy>
  <dcterms:modified xsi:type="dcterms:W3CDTF">2021-10-13T01:43:18Z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BC32ABD2A7084753BBC58EFB0CB3DDD6</vt:lpwstr>
  </property>
</Properties>
</file>