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/>
          <w:bCs/>
          <w:snapToGrid w:val="0"/>
          <w:color w:val="000000"/>
          <w:sz w:val="32"/>
          <w:szCs w:val="32"/>
        </w:rPr>
      </w:pPr>
      <w:bookmarkStart w:id="0" w:name="_Toc14780"/>
      <w:bookmarkStart w:id="1" w:name="_Toc9688"/>
      <w:bookmarkStart w:id="2" w:name="_Toc71213700"/>
      <w:bookmarkStart w:id="3" w:name="_Toc31604"/>
      <w:r>
        <w:rPr>
          <w:rFonts w:hint="eastAsia" w:ascii="黑体" w:hAnsi="黑体" w:eastAsia="黑体"/>
          <w:bCs/>
          <w:snapToGrid w:val="0"/>
          <w:color w:val="000000"/>
          <w:sz w:val="32"/>
          <w:szCs w:val="32"/>
        </w:rPr>
        <w:t>第十章 全面深化改革开放，激发转型发展活力动力</w:t>
      </w:r>
      <w:bookmarkEnd w:id="0"/>
      <w:bookmarkEnd w:id="1"/>
      <w:bookmarkEnd w:id="2"/>
      <w:bookmarkEnd w:id="3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坚持把改革开放作为关键一招，以改革引领转型、以开放促进发展，坚决破除制约高质量发展的体制机制障碍，加快构建服务新发展格局的开放型经济新体制，努力在改革开放中实现更高水平崛起。</w:t>
      </w:r>
    </w:p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4" w:name="_Toc32661"/>
      <w:bookmarkStart w:id="5" w:name="_Toc30733"/>
      <w:bookmarkStart w:id="6" w:name="_Toc71213701"/>
      <w:bookmarkStart w:id="7" w:name="_Toc7757"/>
      <w:bookmarkStart w:id="8" w:name="_Toc7751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第一节 深化重点领域改革</w:t>
      </w:r>
      <w:bookmarkEnd w:id="4"/>
      <w:bookmarkEnd w:id="5"/>
      <w:bookmarkEnd w:id="6"/>
      <w:bookmarkEnd w:id="7"/>
      <w:bookmarkEnd w:id="8"/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要坚定不移深化重点领域改革，更加注重改革的系统集成、协同高效，加快形成有利于高质量转型发展的体制机制。突出抓好一批标志性、引领性改革，以关键领域“一子落”带动整体工作“全盘活”。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深化能源领域综合试点改革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。加快火山煤矿300万吨绿色智能开采改扩建项目，实施碳达峰、碳中和“交城行动”，加快发展太阳能、风能、氢能等等新能源产业，重点推进国网新源抽水蓄能电站、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  <w:lang w:val="en-US"/>
        </w:rPr>
        <w:t>山西太岳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300MW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  <w:lang w:val="en-US"/>
        </w:rPr>
        <w:t>分散式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风力发电等项目，“十四五”末，新能源装机占比达到30%以上。</w:t>
      </w:r>
    </w:p>
    <w:p>
      <w:pPr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实施民营经济改革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。大力推进“个转企、小升规、规改股、股上市”，净增规模以上工业企业100户。落实国家减税降费政策，加强违规涉企收费整治，进一步为企业降本减负。引导金融机构增加民营企业贷款投放，提高首贷户比重和信用贷款比重，对普惠小微企业贷款按市场化原则应延尽延优化发展环境，激发民营经济发展活力。</w:t>
      </w:r>
    </w:p>
    <w:p>
      <w:pPr>
        <w:overflowPunct w:val="0"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_GB2312"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地方金融改革</w:t>
      </w:r>
      <w:r>
        <w:rPr>
          <w:rFonts w:hint="eastAsia" w:ascii="仿宋" w:hAnsi="仿宋" w:eastAsia="仿宋" w:cs="仿宋_GB2312"/>
          <w:bCs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构建金融有效支持实体经济发展的体制机制，完善融资担保、绿色金融等金融服务模式，完善金融风险防范化解机制，加强地方金融机构监管，提高网络小贷业务监管能力，妥善处置单体企业风险，守住不发生系统性金融风险底线。加大对民间非法集资打击力度，提高金融监管法治化水平。</w:t>
      </w:r>
    </w:p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9" w:name="_Toc8641"/>
      <w:bookmarkStart w:id="10" w:name="_Toc18771"/>
      <w:bookmarkStart w:id="11" w:name="_Toc32719"/>
      <w:bookmarkStart w:id="12" w:name="_Toc26261"/>
      <w:bookmarkStart w:id="13" w:name="_Toc71213702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第二节 打造营商环境示范县</w:t>
      </w:r>
      <w:bookmarkEnd w:id="9"/>
      <w:bookmarkEnd w:id="10"/>
      <w:bookmarkEnd w:id="11"/>
      <w:bookmarkEnd w:id="12"/>
      <w:bookmarkEnd w:id="13"/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深入推进“放管服”改革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深化行政审批制度改革，进一步精简行政许可事项和推进“证照分离”改革，推进行业经营涉及的行政审批与企业营业执照全面合并。按照整合、简化、删减的原则，在涉企证照事项“五证合一”基础上，实行“多证合一”改革涉企证照事项动态管理。完善一体化在线政务服务平台功能，全面实现“一网通办”。全面开展工程建设项目审批制度改革。健全覆盖全社会的征信体系，完善诚信建设长效机制。推进信用信息共享，开放政府部门信用信息，完善失信主体信用修复机制。</w:t>
      </w:r>
      <w:r>
        <w:rPr>
          <w:rFonts w:hint="eastAsia" w:ascii="仿宋" w:hAnsi="仿宋" w:eastAsia="仿宋" w:cs="仿宋_GB2312"/>
          <w:snapToGrid w:val="0"/>
          <w:color w:val="000000"/>
          <w:sz w:val="32"/>
          <w:szCs w:val="32"/>
        </w:rPr>
        <w:t>加快对开发区简政放权，推动开发区国土分局、财政分局投入运行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加强市场监管改革创新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健全以“双随机、一公开”监管为基本手段、以重点监管为补充、以信用监管为基础的新型监管机制。健全重大政策事前评估和事后评价制度，畅通参与政策制定的渠道，提高决策科学化、民主化、法治化水平。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推进政务服务标准化、规范化、便利化，深化政务公开；加快行业协会、商会和中介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机构改革。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创新行政管理和服务方式</w:t>
      </w:r>
      <w:r>
        <w:rPr>
          <w:rFonts w:hint="eastAsia" w:ascii="仿宋" w:hAnsi="仿宋" w:eastAsia="仿宋" w:cs="仿宋"/>
          <w:snapToGrid w:val="0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深入开展“互联网+政务服务”，推动政务服务事项网上办理，完善一体化在线政务服务平台办理功能，拓展网上办事广度和深度，延长网上办事链条，实现事项从网上申请到网上预审、办理、反馈，力争2022 年底前一体化政务服务平台功能更加完善，全面实现“一网通办”，力争2025年建成全省优化营商环境示范县。</w:t>
      </w:r>
    </w:p>
    <w:p>
      <w:pPr>
        <w:adjustRightInd w:val="0"/>
        <w:snapToGrid w:val="0"/>
        <w:spacing w:line="560" w:lineRule="exact"/>
        <w:jc w:val="center"/>
        <w:outlineLvl w:val="1"/>
        <w:rPr>
          <w:rFonts w:hint="eastAsia" w:ascii="仿宋" w:hAnsi="仿宋" w:eastAsia="仿宋" w:cs="楷体"/>
          <w:bCs/>
          <w:snapToGrid w:val="0"/>
          <w:color w:val="000000"/>
          <w:sz w:val="32"/>
          <w:szCs w:val="32"/>
        </w:rPr>
      </w:pPr>
      <w:bookmarkStart w:id="14" w:name="_Toc23496"/>
      <w:bookmarkStart w:id="15" w:name="_Toc71213703"/>
      <w:bookmarkStart w:id="16" w:name="_Toc21060"/>
      <w:bookmarkStart w:id="17" w:name="_Toc31875"/>
    </w:p>
    <w:p>
      <w:pPr>
        <w:adjustRightInd w:val="0"/>
        <w:snapToGrid w:val="0"/>
        <w:spacing w:line="560" w:lineRule="exact"/>
        <w:jc w:val="center"/>
        <w:outlineLvl w:val="1"/>
        <w:rPr>
          <w:rFonts w:ascii="楷体" w:hAnsi="楷体" w:eastAsia="楷体" w:cs="楷体"/>
          <w:bCs/>
          <w:snapToGrid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Cs/>
          <w:snapToGrid w:val="0"/>
          <w:color w:val="000000"/>
          <w:sz w:val="32"/>
          <w:szCs w:val="32"/>
        </w:rPr>
        <w:t>第三节 激发各类市场主体</w:t>
      </w:r>
      <w:bookmarkEnd w:id="14"/>
      <w:bookmarkEnd w:id="15"/>
      <w:bookmarkEnd w:id="16"/>
      <w:bookmarkEnd w:id="17"/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更大激发市场主体活力和社会创造力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。要继续深化“放管服”改革、优化营商环境，保障公平竞争，让市场主体生存好、发展好，催生更多新市场主体，提升活跃度。按照“一网通办”目标，以打造市场化、法治化、便利化营商环境重要抓手，进一步加强公共数据汇聚、整合、互联、共享、应用，坚持用户需求导向，进一步整合现有平台和资源，加强开发应用、优化服务流程，切实以信息化推进营商环境整体提升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充分发挥市场主体对就业的最大支撑作用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，改革完善劳动力市场、人才市场、灵活用工市场，创造更多公平就业机会。创新理念和体制机制，推动科技创新，顺应国际产业发展趋势，运用工业互联网等新技术推动传统产业特别是制造业优化升级，提升农业质量效益和竞争力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扩大高水平对外开放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，着力在制度型开放上迈出更大步伐。以价值引领为导向，由政府和市场主体协同建立起资源精准对接与优化配置的增长方式；共同承担起深化营商环境优化的责任，构建起以创新性、再生性、生态性、精细性、高效益的增长和发展模式激发各类市场主体活力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坚持包容审慎监管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，始终坚持依法行政，进一步探索跨领域新产业、新业态行政管理容错机制，持续有效激发市场主体活力，努力营造良好发展环境。毫不动摇巩固和发展公有制经济，毫不动摇鼓励、支持、引导非公有制经济发展。发展壮大民营经济，深入实施市场主体培育工程，鼓励民营企业依法进入更多领域，力争“十四五”末，规上企业达到100户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构建亲清政商关系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,促进非公有制经济健康发展和非公有制经济人士健康成长，</w:t>
      </w:r>
      <w:bookmarkStart w:id="18" w:name="_GoBack"/>
      <w:bookmarkEnd w:id="18"/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依法平等保护民营企业产权和企业家权益，完善促进中小微企业和个体工商户的法律环境和政策体系。深化商事制度改革，加强和改善市场监管。完善社会信用体系,建设重要产品追溯体系，建立健全以信用为基础的新型监管机制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构建金融有效支持实体经济发展的体制机制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，完善融资担保、绿色金融等金融服务模式，完善金融风险防范化解机制，加大对民间非法集资打击力度，提高金融监管法治化水平。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both"/>
        <w:rPr>
          <w:rFonts w:ascii="仿宋" w:hAnsi="仿宋" w:eastAsia="仿宋" w:cs="仿宋"/>
          <w:bCs/>
          <w:snapToGrid w:val="0"/>
          <w:color w:val="000000"/>
          <w:sz w:val="32"/>
          <w:szCs w:val="32"/>
        </w:rPr>
      </w:pPr>
      <w:r>
        <w:rPr>
          <w:rFonts w:hint="eastAsia" w:ascii="仿宋" w:hAnsi="仿宋" w:eastAsia="仿宋" w:cs="楷体"/>
          <w:snapToGrid w:val="0"/>
          <w:color w:val="000000"/>
          <w:sz w:val="32"/>
          <w:szCs w:val="32"/>
        </w:rPr>
        <w:t>坚持领导分工负责制</w:t>
      </w:r>
      <w:r>
        <w:rPr>
          <w:rFonts w:hint="eastAsia" w:ascii="仿宋" w:hAnsi="仿宋" w:eastAsia="仿宋" w:cs="仿宋"/>
          <w:bCs/>
          <w:snapToGrid w:val="0"/>
          <w:color w:val="000000"/>
          <w:sz w:val="32"/>
          <w:szCs w:val="32"/>
        </w:rPr>
        <w:t>，强化统筹协调、加强预警监测、坚持定期反馈、加大督促考核，层层压紧压实责任，推动形成工作合力，为各类市场主体投资兴业营造稳定、公平、透明、可预期的良好环境。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4E7E61"/>
    <w:rsid w:val="0C4E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autoSpaceDE/>
      <w:autoSpaceDN/>
      <w:jc w:val="both"/>
      <w:outlineLvl w:val="0"/>
    </w:pPr>
    <w:rPr>
      <w:rFonts w:ascii="Arial" w:hAnsi="Arial" w:cs="Arial"/>
      <w:bCs/>
      <w:kern w:val="2"/>
      <w:sz w:val="21"/>
      <w:szCs w:val="32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2021-10-13T01:36:00Z</dcterms:created>
  <dc:creator>蜡笔小新</dc:creator>
  <cp:lastModifiedBy>蜡笔小新</cp:lastModifiedBy>
  <dcterms:modified xsi:type="dcterms:W3CDTF">2021-10-13T01:37:38Z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6853702424074F579B1173AAEC938E01</vt:lpwstr>
  </property>
</Properties>
</file>