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outlineLvl w:val="0"/>
        <w:rPr>
          <w:rFonts w:ascii="黑体" w:hAnsi="黑体" w:eastAsia="黑体"/>
          <w:bCs/>
          <w:snapToGrid w:val="0"/>
          <w:color w:val="000000"/>
          <w:sz w:val="32"/>
          <w:szCs w:val="32"/>
        </w:rPr>
      </w:pPr>
      <w:bookmarkStart w:id="0" w:name="_Toc71213693"/>
      <w:r>
        <w:rPr>
          <w:rFonts w:hint="eastAsia" w:ascii="黑体" w:hAnsi="黑体" w:eastAsia="黑体"/>
          <w:bCs/>
          <w:snapToGrid w:val="0"/>
          <w:color w:val="000000"/>
          <w:sz w:val="32"/>
          <w:szCs w:val="32"/>
        </w:rPr>
        <w:t>第九章 统筹“三农”问题，全面推进乡村振兴</w:t>
      </w:r>
      <w:bookmarkEnd w:id="0"/>
    </w:p>
    <w:p>
      <w:pPr>
        <w:overflowPunct w:val="0"/>
        <w:adjustRightInd w:val="0"/>
        <w:snapToGrid w:val="0"/>
        <w:spacing w:line="560" w:lineRule="exact"/>
        <w:ind w:firstLine="640" w:firstLineChars="200"/>
        <w:jc w:val="both"/>
        <w:rPr>
          <w:rFonts w:hint="eastAsia" w:ascii="仿宋" w:hAnsi="仿宋" w:eastAsia="仿宋" w:cs="仿宋_GB2312"/>
          <w:snapToGrid w:val="0"/>
          <w:color w:val="000000"/>
          <w:sz w:val="32"/>
          <w:szCs w:val="32"/>
        </w:rPr>
      </w:pP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把解决好“三农”问题作为重中之重，实施“特”“优”战略，持续</w:t>
      </w:r>
      <w:r>
        <w:rPr>
          <w:rFonts w:hint="eastAsia" w:ascii="仿宋" w:hAnsi="仿宋" w:eastAsia="仿宋" w:cs="仿宋_GB2312"/>
          <w:snapToGrid w:val="0"/>
          <w:color w:val="000000"/>
          <w:sz w:val="32"/>
          <w:szCs w:val="32"/>
          <w:lang w:eastAsia="zh-CN"/>
        </w:rPr>
        <w:t>巩固拓展脱贫攻坚成果</w:t>
      </w:r>
      <w:r>
        <w:rPr>
          <w:rFonts w:hint="eastAsia" w:ascii="仿宋" w:hAnsi="仿宋" w:eastAsia="仿宋" w:cs="仿宋_GB2312"/>
          <w:snapToGrid w:val="0"/>
          <w:color w:val="000000"/>
          <w:sz w:val="32"/>
          <w:szCs w:val="32"/>
        </w:rPr>
        <w:t>，加快农业农村现代化，促进农业高质高效、乡村宜居宜业、农民富裕富足。</w:t>
      </w:r>
    </w:p>
    <w:p>
      <w:pPr>
        <w:adjustRightInd w:val="0"/>
        <w:snapToGrid w:val="0"/>
        <w:spacing w:line="560" w:lineRule="exact"/>
        <w:jc w:val="center"/>
        <w:outlineLvl w:val="1"/>
        <w:rPr>
          <w:rFonts w:hint="eastAsia" w:ascii="仿宋" w:hAnsi="仿宋" w:eastAsia="仿宋" w:cs="楷体"/>
          <w:bCs/>
          <w:snapToGrid w:val="0"/>
          <w:color w:val="000000"/>
          <w:sz w:val="32"/>
          <w:szCs w:val="32"/>
        </w:rPr>
      </w:pPr>
      <w:bookmarkStart w:id="1" w:name="_Toc21714"/>
      <w:bookmarkStart w:id="2" w:name="_Toc71213694"/>
      <w:bookmarkStart w:id="3" w:name="_Toc15948"/>
      <w:bookmarkStart w:id="4" w:name="_Toc97"/>
      <w:bookmarkStart w:id="5" w:name="_Toc32248"/>
    </w:p>
    <w:p>
      <w:pPr>
        <w:adjustRightInd w:val="0"/>
        <w:snapToGrid w:val="0"/>
        <w:spacing w:line="560" w:lineRule="exact"/>
        <w:jc w:val="center"/>
        <w:outlineLvl w:val="1"/>
        <w:rPr>
          <w:rFonts w:ascii="楷体" w:hAnsi="楷体" w:eastAsia="楷体" w:cs="楷体"/>
          <w:bCs/>
          <w:snapToGrid w:val="0"/>
          <w:color w:val="000000"/>
          <w:sz w:val="32"/>
          <w:szCs w:val="32"/>
        </w:rPr>
      </w:pPr>
      <w:r>
        <w:rPr>
          <w:rFonts w:hint="eastAsia" w:ascii="楷体" w:hAnsi="楷体" w:eastAsia="楷体" w:cs="楷体"/>
          <w:bCs/>
          <w:snapToGrid w:val="0"/>
          <w:color w:val="000000"/>
          <w:sz w:val="32"/>
          <w:szCs w:val="32"/>
        </w:rPr>
        <w:t>第一节 实现巩固拓展脱贫攻坚成果同乡村振兴有效衔接</w:t>
      </w:r>
      <w:bookmarkEnd w:id="1"/>
      <w:bookmarkEnd w:id="2"/>
      <w:bookmarkEnd w:id="3"/>
      <w:bookmarkEnd w:id="4"/>
      <w:bookmarkEnd w:id="5"/>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把巩固拓展脱贫攻坚成果摆在头等重要位置来抓，推动脱贫攻坚政策举措和工作体系逐步向乡村振兴平稳过渡，用乡村振兴巩固拓展脱贫攻坚成果，坚决守住脱贫攻坚胜利果实，确保不出现规模性返贫，确保实现同乡村振兴有效衔接，确保乡村振兴有序推进。</w:t>
      </w:r>
    </w:p>
    <w:p>
      <w:pPr>
        <w:pStyle w:val="3"/>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巩固拓展好脱贫攻坚成果</w:t>
      </w:r>
      <w:r>
        <w:rPr>
          <w:rFonts w:hint="eastAsia" w:ascii="仿宋" w:hAnsi="仿宋" w:eastAsia="仿宋" w:cs="仿宋_GB2312"/>
          <w:snapToGrid w:val="0"/>
          <w:color w:val="000000"/>
          <w:kern w:val="0"/>
          <w:sz w:val="32"/>
          <w:szCs w:val="32"/>
        </w:rPr>
        <w:t>。要保持现有帮扶政策、资金支持、帮扶力量总体稳定，严格落实“四个不摘”要求，保持政策总体稳定，投入力度不减、帮扶队伍不撤，各级财政投入要与巩固拓展脱贫攻坚成果、做好衔接要求相匹配。</w:t>
      </w:r>
    </w:p>
    <w:p>
      <w:pPr>
        <w:pStyle w:val="3"/>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健全防止返贫监测帮扶机制</w:t>
      </w:r>
      <w:r>
        <w:rPr>
          <w:rFonts w:hint="eastAsia" w:ascii="仿宋" w:hAnsi="仿宋" w:eastAsia="仿宋" w:cs="仿宋_GB2312"/>
          <w:snapToGrid w:val="0"/>
          <w:color w:val="000000"/>
          <w:kern w:val="0"/>
          <w:sz w:val="32"/>
          <w:szCs w:val="32"/>
        </w:rPr>
        <w:t>。积极应对疫情对脱贫攻坚的影响，认真查缺补漏解决问题，进一步转变作风提升能力，启动脱贫攻坚总结加强宣传，有力有序有效推进脱贫攻坚工作。继续对脱贫村、脱贫人口开展监测，持续跟踪收入变化和“两不愁三保障”巩固情况，定期核查，对脱贫不稳定户和边缘易致贫户及时发现，及时帮扶，动态清零。建立农村危房安全动态管理机制。强化易地扶贫搬迁后续扶持“五个体系”建设，确保搬得出、稳得住、能致富。强化产业支持、就业帮扶，确保稳得住、有就业、逐步能致富。加强扶志扶智，激励和引导脱贫群众靠自己努力过上更好生活。抓好农村“两委”换届，打造一支引领乡村振兴的高素质“领头雁”队伍。</w:t>
      </w:r>
    </w:p>
    <w:p>
      <w:pPr>
        <w:overflowPunct w:val="0"/>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做大做优扶贫“两大品牌”</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抓好产业帮扶衔接，支持脱贫地区产业发展壮大，产业扶贫政策措施由到村到户为主向到乡到村带户为主转变。继续深入实施“增绿”、“复绿”、“补绿”等生态扶贫产业。发挥我县林区景观优势，探索发展森林旅游、森林康养等服务业，带动贫困户积极参与，助力贫困户巩固脱贫成果；引导贫困户发展产业，培育林药、林蜂、林菌等林业绿色产业，发展沙棘、连翘等特色经济林；依托“交城骏枣”地理标志商标，发展壮大红枣“经纪人”队伍，完善骏枣产业链，推动“交城骏枣”集散地建设，通过务工、包装、销售等形式带动贫困户增收；依托退耕还林、经济林提质增效项目等惠民政策，巩固核桃种植面积，培育能人大户和新型经营主体，带动周围村民收入增加。做好脱贫人口稳岗就业，实施菜单式、订单式培训，以技能培训就业提升贫困群众就业能力和收入。</w:t>
      </w:r>
      <w:r>
        <w:rPr>
          <w:rFonts w:hint="eastAsia" w:ascii="仿宋" w:hAnsi="仿宋" w:eastAsia="仿宋" w:cs="仿宋"/>
          <w:snapToGrid w:val="0"/>
          <w:color w:val="000000"/>
          <w:sz w:val="32"/>
          <w:szCs w:val="32"/>
        </w:rPr>
        <w:t>深化“交城山技工”、“吕梁山护工”护理培训就业工作，强化就业培训和劳务输出，积极开展有组织的劳务输出，着力提高“交城山技工”、“吕梁山护工”品牌影响力和市场竞争力，推动“交城山技工”品牌走出交城。</w:t>
      </w:r>
    </w:p>
    <w:p>
      <w:pPr>
        <w:overflowPunct w:val="0"/>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加强稳岗就业</w:t>
      </w:r>
      <w:r>
        <w:rPr>
          <w:rFonts w:hint="eastAsia" w:ascii="仿宋" w:hAnsi="仿宋" w:eastAsia="仿宋" w:cs="仿宋_GB2312"/>
          <w:snapToGrid w:val="0"/>
          <w:color w:val="000000"/>
          <w:sz w:val="32"/>
          <w:szCs w:val="32"/>
        </w:rPr>
        <w:t>。积极开展网上对接、小分队对接，采取“点对点、一站式”直达保障服务，促进劳动力返岗就业。坚持把实施“人人持证、技能社会”建设与发展壮大县域特色产业结合起来，开展电子商务等特色产业技能培训，助推乡村产业、县域产业发展，促进群众就地就近就业。</w:t>
      </w:r>
    </w:p>
    <w:p>
      <w:pPr>
        <w:overflowPunct w:val="0"/>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提升脱贫攻坚创新性工作</w:t>
      </w:r>
      <w:r>
        <w:rPr>
          <w:rFonts w:hint="eastAsia" w:ascii="仿宋" w:hAnsi="仿宋" w:eastAsia="仿宋" w:cs="仿宋_GB2312"/>
          <w:snapToGrid w:val="0"/>
          <w:color w:val="000000"/>
          <w:sz w:val="32"/>
          <w:szCs w:val="32"/>
        </w:rPr>
        <w:t>。抓好规划衔接，组织编制“十四五”巩固拓展脱贫攻坚成果同乡村振兴有效衔接规划，深化细化具体措施，抓好产业帮扶衔接，支持脱贫地区产业发展壮大，加强脱贫地区产业发展基础设施建设，鼓励碧洲农牧、圪洞坡、王山岭种植大户等龙头企业，扩建基地，上马项目，带动周边核桃加工转化，增加产品附加值，促进当地贫困户就业增收。借助我县建设“一乡一园区、一村一基地”的大好时机，结合新型城镇化建设，引导投资向各类产业基地倾斜。全面推广风险补偿、“乡村振兴贷”成功模式。大力推广“党支部+合作社”、“十户连体”等新时代共同富裕法，促进产业、金融、生态、公共服务等扶持政策惠及农村低收入人口，深化“五进九销”消费模式，大力实施乡村旅游、农村电商、资产收益等产业项目，拓展销售渠道，创新流通方式，促进产销对接。抓好考核衔接，把巩固拓展脱贫攻坚成果纳入本县党政领导班子和领导干部推进乡村振兴战略实绩考核范围。</w:t>
      </w:r>
    </w:p>
    <w:p>
      <w:pPr>
        <w:overflowPunct w:val="0"/>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发挥民政社会救助作用</w:t>
      </w:r>
      <w:r>
        <w:rPr>
          <w:rFonts w:hint="eastAsia" w:ascii="仿宋" w:hAnsi="仿宋" w:eastAsia="仿宋" w:cs="仿宋_GB2312"/>
          <w:snapToGrid w:val="0"/>
          <w:color w:val="000000"/>
          <w:sz w:val="32"/>
          <w:szCs w:val="32"/>
        </w:rPr>
        <w:t>。</w:t>
      </w:r>
      <w:r>
        <w:rPr>
          <w:rFonts w:ascii="仿宋" w:hAnsi="仿宋" w:eastAsia="仿宋" w:cs="仿宋_GB2312"/>
          <w:bCs/>
          <w:snapToGrid w:val="0"/>
          <w:color w:val="000000"/>
          <w:sz w:val="32"/>
          <w:szCs w:val="32"/>
        </w:rPr>
        <w:t>一是</w:t>
      </w:r>
      <w:r>
        <w:rPr>
          <w:rFonts w:hint="eastAsia" w:ascii="仿宋" w:hAnsi="仿宋" w:eastAsia="仿宋" w:cs="仿宋_GB2312"/>
          <w:snapToGrid w:val="0"/>
          <w:color w:val="000000"/>
          <w:sz w:val="32"/>
          <w:szCs w:val="32"/>
        </w:rPr>
        <w:t>抓好困难群众低保障，围绕巩固拓展脱贫攻坚成果健全收入监测预警机制，及时将符合条件的困难群众和特殊群体纳入救助帮扶做到应保尽保;抓实边缘人口动态监测和及时帮助，加强兜底保障，切实筑牢返贫防线。</w:t>
      </w:r>
      <w:r>
        <w:rPr>
          <w:rFonts w:ascii="仿宋" w:hAnsi="仿宋" w:eastAsia="仿宋" w:cs="仿宋_GB2312"/>
          <w:bCs/>
          <w:snapToGrid w:val="0"/>
          <w:color w:val="000000"/>
          <w:sz w:val="32"/>
          <w:szCs w:val="32"/>
        </w:rPr>
        <w:t>二是</w:t>
      </w:r>
      <w:r>
        <w:rPr>
          <w:rFonts w:hint="eastAsia" w:ascii="仿宋" w:hAnsi="仿宋" w:eastAsia="仿宋" w:cs="仿宋_GB2312"/>
          <w:snapToGrid w:val="0"/>
          <w:color w:val="000000"/>
          <w:sz w:val="32"/>
          <w:szCs w:val="32"/>
        </w:rPr>
        <w:t>做好特困供养城乡统筹，推进特困供养人员救助供养制度城乡统筹，健全乡村弱势群体关爱服务体系。</w:t>
      </w:r>
      <w:r>
        <w:rPr>
          <w:rFonts w:ascii="仿宋" w:hAnsi="仿宋" w:eastAsia="仿宋" w:cs="仿宋_GB2312"/>
          <w:bCs/>
          <w:snapToGrid w:val="0"/>
          <w:color w:val="000000"/>
          <w:sz w:val="32"/>
          <w:szCs w:val="32"/>
        </w:rPr>
        <w:t>三是</w:t>
      </w:r>
      <w:r>
        <w:rPr>
          <w:rFonts w:hint="eastAsia" w:ascii="仿宋" w:hAnsi="仿宋" w:eastAsia="仿宋" w:cs="仿宋_GB2312"/>
          <w:snapToGrid w:val="0"/>
          <w:color w:val="000000"/>
          <w:sz w:val="32"/>
          <w:szCs w:val="32"/>
        </w:rPr>
        <w:t>落实好老年人补贴和养老服务，建设覆盖广泛、内涵丰富、衔接紧密的老年人养老服务补贴津贴制度，做好与困难残疾人生活补贴和重度残疾人护理补贴制度的有效衔接，做好与正在试点推进的长期护理保险制度的顺利衔接，促进养老服务保障水平不断提高，推动实现基本养老服务均衡化。</w:t>
      </w:r>
      <w:r>
        <w:rPr>
          <w:rFonts w:ascii="仿宋" w:hAnsi="仿宋" w:eastAsia="仿宋" w:cs="仿宋_GB2312"/>
          <w:bCs/>
          <w:snapToGrid w:val="0"/>
          <w:color w:val="000000"/>
          <w:sz w:val="32"/>
          <w:szCs w:val="32"/>
        </w:rPr>
        <w:t>四是</w:t>
      </w:r>
      <w:r>
        <w:rPr>
          <w:rFonts w:hint="eastAsia" w:ascii="仿宋" w:hAnsi="仿宋" w:eastAsia="仿宋" w:cs="仿宋_GB2312"/>
          <w:snapToGrid w:val="0"/>
          <w:color w:val="000000"/>
          <w:sz w:val="32"/>
          <w:szCs w:val="32"/>
        </w:rPr>
        <w:t>建立健全残疾人两项补贴，建立健全残疾人基本福利制度，完善扶残助残服务体系。</w:t>
      </w:r>
      <w:r>
        <w:rPr>
          <w:rFonts w:ascii="仿宋" w:hAnsi="仿宋" w:eastAsia="仿宋" w:cs="仿宋_GB2312"/>
          <w:bCs/>
          <w:snapToGrid w:val="0"/>
          <w:color w:val="000000"/>
          <w:sz w:val="32"/>
          <w:szCs w:val="32"/>
        </w:rPr>
        <w:t>五是</w:t>
      </w:r>
      <w:r>
        <w:rPr>
          <w:rFonts w:hint="eastAsia" w:ascii="仿宋" w:hAnsi="仿宋" w:eastAsia="仿宋" w:cs="仿宋_GB2312"/>
          <w:snapToGrid w:val="0"/>
          <w:color w:val="000000"/>
          <w:sz w:val="32"/>
          <w:szCs w:val="32"/>
        </w:rPr>
        <w:t>健全儿童群体关爱体系，落实孤儿保障、农村留守关爱、困境儿童保障等政策文件，加强服务网络建设，强化儿童福利机构规范管理，健全完善农村留守儿童关爱服务体系，加强孤儿保障工作，为孤儿成长提供必要的服务和支持。加强困境儿童权益保障，将因家庭贫困、自身残疾、监护缺失等儿童全部纳入困境儿童保障范围，落实困境儿童基本生活保障、基本医疗保障、教育保障、落实监护责任等政策。</w:t>
      </w:r>
      <w:r>
        <w:rPr>
          <w:rFonts w:ascii="仿宋" w:hAnsi="仿宋" w:eastAsia="仿宋" w:cs="仿宋_GB2312"/>
          <w:bCs/>
          <w:snapToGrid w:val="0"/>
          <w:color w:val="000000"/>
          <w:sz w:val="32"/>
          <w:szCs w:val="32"/>
        </w:rPr>
        <w:t>六是</w:t>
      </w:r>
      <w:r>
        <w:rPr>
          <w:rFonts w:hint="eastAsia" w:ascii="仿宋" w:hAnsi="仿宋" w:eastAsia="仿宋" w:cs="仿宋_GB2312"/>
          <w:snapToGrid w:val="0"/>
          <w:color w:val="000000"/>
          <w:sz w:val="32"/>
          <w:szCs w:val="32"/>
        </w:rPr>
        <w:t>完善临时救助制度，对遭遇突发事件、意外伤害、重大疾病或其他特殊原因导致生活陷入困境，其他社会救助暂时无法覆盖或救助之后基本生活仍有严重困难的家庭或个人，给予应急、过渡性救助，做到兜底线、救急难，填补社会救助体系“缺项”。</w:t>
      </w:r>
    </w:p>
    <w:p>
      <w:pPr>
        <w:adjustRightInd w:val="0"/>
        <w:snapToGrid w:val="0"/>
        <w:spacing w:line="560" w:lineRule="exact"/>
        <w:jc w:val="center"/>
        <w:outlineLvl w:val="1"/>
        <w:rPr>
          <w:rFonts w:hint="eastAsia" w:ascii="仿宋" w:hAnsi="仿宋" w:eastAsia="仿宋" w:cs="楷体"/>
          <w:bCs/>
          <w:snapToGrid w:val="0"/>
          <w:color w:val="000000"/>
          <w:sz w:val="32"/>
          <w:szCs w:val="32"/>
        </w:rPr>
      </w:pPr>
      <w:bookmarkStart w:id="6" w:name="_Toc27775"/>
      <w:bookmarkStart w:id="7" w:name="_Toc14599"/>
      <w:bookmarkStart w:id="8" w:name="_Toc71213695"/>
      <w:bookmarkStart w:id="9" w:name="_Toc20134"/>
      <w:bookmarkStart w:id="10" w:name="_Toc20001"/>
    </w:p>
    <w:p>
      <w:pPr>
        <w:adjustRightInd w:val="0"/>
        <w:snapToGrid w:val="0"/>
        <w:spacing w:line="560" w:lineRule="exact"/>
        <w:jc w:val="center"/>
        <w:outlineLvl w:val="1"/>
        <w:rPr>
          <w:rFonts w:ascii="楷体" w:hAnsi="楷体" w:eastAsia="楷体" w:cs="楷体"/>
          <w:bCs/>
          <w:snapToGrid w:val="0"/>
          <w:color w:val="000000"/>
          <w:sz w:val="32"/>
          <w:szCs w:val="32"/>
        </w:rPr>
      </w:pPr>
      <w:r>
        <w:rPr>
          <w:rFonts w:hint="eastAsia" w:ascii="楷体" w:hAnsi="楷体" w:eastAsia="楷体" w:cs="楷体"/>
          <w:bCs/>
          <w:snapToGrid w:val="0"/>
          <w:color w:val="000000"/>
          <w:sz w:val="32"/>
          <w:szCs w:val="32"/>
        </w:rPr>
        <w:t>第二节 提高农业质量效益和竞争力</w:t>
      </w:r>
      <w:bookmarkEnd w:id="6"/>
      <w:bookmarkEnd w:id="7"/>
      <w:bookmarkEnd w:id="8"/>
      <w:bookmarkEnd w:id="9"/>
      <w:bookmarkEnd w:id="10"/>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加快形成农业支持保护制度体系</w:t>
      </w:r>
      <w:r>
        <w:rPr>
          <w:rFonts w:hint="eastAsia" w:ascii="仿宋" w:hAnsi="仿宋" w:eastAsia="仿宋" w:cs="仿宋_GB2312"/>
          <w:snapToGrid w:val="0"/>
          <w:color w:val="000000"/>
          <w:sz w:val="32"/>
          <w:szCs w:val="32"/>
        </w:rPr>
        <w:t>。</w:t>
      </w:r>
      <w:r>
        <w:rPr>
          <w:rFonts w:ascii="仿宋" w:hAnsi="仿宋" w:eastAsia="仿宋" w:cs="仿宋_GB2312"/>
          <w:snapToGrid w:val="0"/>
          <w:color w:val="000000"/>
          <w:sz w:val="32"/>
          <w:szCs w:val="32"/>
        </w:rPr>
        <w:t>落实藏粮于地、藏粮于技战略，</w:t>
      </w:r>
      <w:r>
        <w:rPr>
          <w:rFonts w:hint="eastAsia" w:ascii="仿宋" w:hAnsi="仿宋" w:eastAsia="仿宋" w:cs="仿宋_GB2312"/>
          <w:snapToGrid w:val="0"/>
          <w:color w:val="000000"/>
          <w:sz w:val="32"/>
          <w:szCs w:val="32"/>
        </w:rPr>
        <w:t>提升6万亩粮食功能区生产能力。守住24万亩耕地红线，坚持最严格的耕地保护制度、完善粮食主产区利益补偿机制，以保障我县粮食等主要农产品供给、促进农民增收、实现农业可持续发展。</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持续推进高标准农田建设、中低产田改造、农田水利工程和灌区现代化建设</w:t>
      </w:r>
      <w:r>
        <w:rPr>
          <w:rFonts w:hint="eastAsia" w:ascii="仿宋" w:hAnsi="仿宋" w:eastAsia="仿宋" w:cs="仿宋_GB2312"/>
          <w:snapToGrid w:val="0"/>
          <w:color w:val="000000"/>
          <w:sz w:val="32"/>
          <w:szCs w:val="32"/>
        </w:rPr>
        <w:t>。实施水肥一体化项目、完成5万亩高标准农田建设任务，坚决防止“非农化”、“非粮化”，不断提升粮食综合生产能力。</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强化农业科技和装备支撑。</w:t>
      </w:r>
      <w:r>
        <w:rPr>
          <w:rFonts w:hint="eastAsia" w:ascii="仿宋" w:hAnsi="仿宋" w:eastAsia="仿宋" w:cs="仿宋_GB2312"/>
          <w:snapToGrid w:val="0"/>
          <w:color w:val="000000"/>
          <w:sz w:val="32"/>
          <w:szCs w:val="32"/>
        </w:rPr>
        <w:t>开展质量导向型科技攻关，强化农业创新驱动。组织实施良种联合攻关，培育和推广口感好、品质佳、营养丰、多抗广适的新品种，加强特色畜禽良种资源保护。组织实施“互联网+”农产品出村进城工程，开展数字农业建设，引导发展智慧农业，推进设施农业规模化、集约化、高效化发展。推动农业保险提标扩面增品，提高农业风险保障能力。</w:t>
      </w:r>
    </w:p>
    <w:p>
      <w:pPr>
        <w:pStyle w:val="3"/>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推动农业“标准化”</w:t>
      </w:r>
      <w:r>
        <w:rPr>
          <w:rFonts w:hint="eastAsia" w:ascii="仿宋" w:hAnsi="仿宋" w:eastAsia="仿宋" w:cs="仿宋_GB2312"/>
          <w:snapToGrid w:val="0"/>
          <w:color w:val="000000"/>
          <w:kern w:val="0"/>
          <w:sz w:val="32"/>
          <w:szCs w:val="32"/>
        </w:rPr>
        <w:t>。加快建立与农业高质量发展相适应的农业标准及技术规范，健全完善农业全产业链标准体系。启动农产品质量追溯管理体系，完成“三品一标”认证30个。建设药茶标准化产业基地。</w:t>
      </w:r>
    </w:p>
    <w:p>
      <w:pPr>
        <w:pStyle w:val="3"/>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深入推进化肥减量增效行动</w:t>
      </w:r>
      <w:r>
        <w:rPr>
          <w:rFonts w:hint="eastAsia" w:ascii="仿宋" w:hAnsi="仿宋" w:eastAsia="仿宋" w:cs="仿宋_GB2312"/>
          <w:snapToGrid w:val="0"/>
          <w:color w:val="000000"/>
          <w:kern w:val="0"/>
          <w:sz w:val="32"/>
          <w:szCs w:val="32"/>
        </w:rPr>
        <w:t>，加快实施化学农药减量替代计划，着力推进绿色防控，推广有机旱作农业全降解地膜。</w:t>
      </w:r>
    </w:p>
    <w:p>
      <w:pPr>
        <w:pStyle w:val="3"/>
        <w:adjustRightInd w:val="0"/>
        <w:snapToGrid w:val="0"/>
        <w:spacing w:line="560" w:lineRule="exact"/>
        <w:ind w:left="0" w:leftChars="0" w:firstLine="640" w:firstLineChars="200"/>
        <w:rPr>
          <w:rFonts w:hint="eastAsia"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打造农业“名品牌”</w:t>
      </w:r>
      <w:r>
        <w:rPr>
          <w:rFonts w:hint="eastAsia" w:ascii="仿宋" w:hAnsi="仿宋" w:eastAsia="仿宋" w:cs="仿宋_GB2312"/>
          <w:snapToGrid w:val="0"/>
          <w:color w:val="000000"/>
          <w:kern w:val="0"/>
          <w:sz w:val="32"/>
          <w:szCs w:val="32"/>
        </w:rPr>
        <w:t>。积极实施农业品牌提升行动，培育一批叫得响、过得硬、有影响力的农产品区域公用品牌、企业品牌、农产品品牌。规划期末末，打造2-3个全国或全省知名的农业“名品牌”。</w:t>
      </w:r>
    </w:p>
    <w:p>
      <w:pPr>
        <w:rPr>
          <w:rFonts w:hint="eastAsia"/>
          <w:lang w:val="en-US" w:bidi="ar-SA"/>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11" w:name="_Toc8518"/>
      <w:bookmarkStart w:id="12" w:name="_Toc13891"/>
      <w:bookmarkStart w:id="13" w:name="_Toc21254"/>
      <w:bookmarkStart w:id="14" w:name="_Toc21889"/>
      <w:bookmarkStart w:id="15" w:name="_Toc71213696"/>
      <w:r>
        <w:rPr>
          <w:rFonts w:hint="eastAsia" w:ascii="楷体" w:hAnsi="楷体" w:eastAsia="楷体" w:cs="楷体"/>
          <w:bCs/>
          <w:snapToGrid w:val="0"/>
          <w:color w:val="000000"/>
          <w:sz w:val="32"/>
          <w:szCs w:val="32"/>
        </w:rPr>
        <w:t>第三节 加快完善农村基础设施</w:t>
      </w:r>
      <w:bookmarkEnd w:id="11"/>
      <w:bookmarkEnd w:id="12"/>
      <w:bookmarkEnd w:id="13"/>
      <w:bookmarkEnd w:id="14"/>
      <w:bookmarkEnd w:id="15"/>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与巩固脱贫攻坚成果与乡村振兴有效衔接，抓好基础设施建设，逐步把基础设施建设的重点转向农村，推动城市基础设施向农村延伸。</w:t>
      </w:r>
    </w:p>
    <w:p>
      <w:pPr>
        <w:adjustRightInd w:val="0"/>
        <w:snapToGrid w:val="0"/>
        <w:spacing w:line="560" w:lineRule="exact"/>
        <w:ind w:firstLine="640" w:firstLineChars="200"/>
        <w:jc w:val="both"/>
        <w:rPr>
          <w:rFonts w:hint="eastAsia" w:ascii="仿宋" w:hAnsi="仿宋" w:eastAsia="仿宋" w:cs="仿宋"/>
          <w:snapToGrid w:val="0"/>
          <w:color w:val="000000"/>
          <w:sz w:val="32"/>
          <w:szCs w:val="32"/>
        </w:rPr>
      </w:pPr>
      <w:r>
        <w:rPr>
          <w:rFonts w:hint="eastAsia" w:ascii="仿宋" w:hAnsi="仿宋" w:eastAsia="仿宋" w:cs="楷体"/>
          <w:snapToGrid w:val="0"/>
          <w:color w:val="000000"/>
          <w:sz w:val="32"/>
          <w:szCs w:val="32"/>
        </w:rPr>
        <w:t>完善农业生产性基础设施</w:t>
      </w:r>
      <w:r>
        <w:rPr>
          <w:rFonts w:hint="eastAsia" w:ascii="仿宋" w:hAnsi="仿宋" w:eastAsia="仿宋" w:cs="仿宋"/>
          <w:snapToGrid w:val="0"/>
          <w:color w:val="000000"/>
          <w:sz w:val="32"/>
          <w:szCs w:val="32"/>
        </w:rPr>
        <w:t>。加快重大水利工程建设，推动高效节水灌溉，统</w:t>
      </w:r>
      <w:r>
        <w:rPr>
          <w:rFonts w:hint="eastAsia" w:ascii="仿宋" w:hAnsi="仿宋" w:eastAsia="仿宋" w:cs="仿宋"/>
          <w:snapToGrid w:val="0"/>
          <w:color w:val="000000"/>
          <w:sz w:val="32"/>
          <w:szCs w:val="32"/>
          <w:lang w:eastAsia="zh-CN"/>
        </w:rPr>
        <w:t>筹</w:t>
      </w:r>
      <w:r>
        <w:rPr>
          <w:rFonts w:hint="eastAsia" w:ascii="仿宋" w:hAnsi="仿宋" w:eastAsia="仿宋" w:cs="仿宋"/>
          <w:snapToGrid w:val="0"/>
          <w:color w:val="000000"/>
          <w:sz w:val="32"/>
          <w:szCs w:val="32"/>
        </w:rPr>
        <w:t>推进水利工程、灌区续建配套节水改造、管网覆盖、小型农田水利设施达标提质等工程建设。健全基层水利服务体系，确保水利工程长期良性运行。</w:t>
      </w:r>
    </w:p>
    <w:p>
      <w:pPr>
        <w:adjustRightInd w:val="0"/>
        <w:snapToGrid w:val="0"/>
        <w:spacing w:line="560" w:lineRule="exact"/>
        <w:ind w:firstLine="640" w:firstLineChars="200"/>
        <w:jc w:val="both"/>
        <w:rPr>
          <w:rFonts w:ascii="仿宋" w:hAnsi="仿宋" w:eastAsia="仿宋" w:cs="仿宋"/>
          <w:snapToGrid w:val="0"/>
          <w:color w:val="000000"/>
          <w:sz w:val="32"/>
          <w:szCs w:val="32"/>
        </w:rPr>
      </w:pPr>
    </w:p>
    <w:tbl>
      <w:tblPr>
        <w:tblStyle w:val="4"/>
        <w:tblW w:w="8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1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15" w:type="dxa"/>
            <w:noWrap w:val="0"/>
            <w:vAlign w:val="top"/>
          </w:tcPr>
          <w:p>
            <w:pPr>
              <w:adjustRightInd w:val="0"/>
              <w:snapToGrid w:val="0"/>
              <w:spacing w:line="560" w:lineRule="exact"/>
              <w:ind w:firstLine="200"/>
              <w:jc w:val="both"/>
              <w:rPr>
                <w:rFonts w:ascii="仿宋" w:hAnsi="仿宋" w:eastAsia="仿宋" w:cs="楷体"/>
                <w:bCs/>
                <w:snapToGrid w:val="0"/>
                <w:color w:val="000000"/>
                <w:sz w:val="32"/>
                <w:szCs w:val="32"/>
              </w:rPr>
            </w:pPr>
            <w:r>
              <w:rPr>
                <w:rFonts w:hint="eastAsia" w:ascii="仿宋" w:hAnsi="仿宋" w:eastAsia="仿宋" w:cs="楷体"/>
                <w:bCs/>
                <w:snapToGrid w:val="0"/>
                <w:color w:val="000000"/>
                <w:sz w:val="32"/>
                <w:szCs w:val="32"/>
              </w:rPr>
              <w:t>专栏9-1：“十四五”交城县水利工程项目（部分）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1.交城县石壁河水库工程。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2.交城县磁窑河流域中水回用工程。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3.交城县魏家沟水库工程。</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4.交城县龙门供水工程调蓄池项目。</w:t>
            </w:r>
          </w:p>
          <w:p>
            <w:pPr>
              <w:adjustRightInd w:val="0"/>
              <w:snapToGrid w:val="0"/>
              <w:spacing w:line="560" w:lineRule="exact"/>
              <w:ind w:firstLine="200"/>
              <w:jc w:val="both"/>
              <w:rPr>
                <w:rFonts w:ascii="仿宋" w:hAnsi="仿宋" w:eastAsia="仿宋" w:cs="仿宋"/>
                <w:snapToGrid w:val="0"/>
                <w:color w:val="000000"/>
                <w:sz w:val="32"/>
                <w:szCs w:val="32"/>
              </w:rPr>
            </w:pPr>
            <w:r>
              <w:rPr>
                <w:rFonts w:ascii="仿宋" w:hAnsi="仿宋" w:eastAsia="仿宋" w:cs="Times New Roman"/>
                <w:snapToGrid w:val="0"/>
                <w:color w:val="000000"/>
                <w:sz w:val="32"/>
                <w:szCs w:val="32"/>
              </w:rPr>
              <w:t>5.</w:t>
            </w:r>
            <w:r>
              <w:rPr>
                <w:rFonts w:hint="eastAsia" w:ascii="仿宋" w:hAnsi="仿宋" w:eastAsia="仿宋" w:cs="Times New Roman"/>
                <w:snapToGrid w:val="0"/>
                <w:color w:val="000000"/>
                <w:sz w:val="32"/>
                <w:szCs w:val="32"/>
              </w:rPr>
              <w:t>交城县经济开发区雨水排放体系建设项目</w:t>
            </w:r>
          </w:p>
        </w:tc>
      </w:tr>
    </w:tbl>
    <w:p>
      <w:pPr>
        <w:adjustRightInd w:val="0"/>
        <w:snapToGrid w:val="0"/>
        <w:spacing w:line="560" w:lineRule="exact"/>
        <w:ind w:firstLine="640" w:firstLineChars="200"/>
        <w:jc w:val="both"/>
        <w:rPr>
          <w:rFonts w:ascii="仿宋" w:hAnsi="仿宋" w:eastAsia="仿宋" w:cs="楷体"/>
          <w:snapToGrid w:val="0"/>
          <w:color w:val="000000"/>
          <w:sz w:val="32"/>
          <w:szCs w:val="32"/>
        </w:rPr>
      </w:pP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完善农民发展性基础设施</w:t>
      </w:r>
      <w:r>
        <w:rPr>
          <w:rFonts w:hint="eastAsia" w:ascii="仿宋" w:hAnsi="仿宋" w:eastAsia="仿宋" w:cs="仿宋"/>
          <w:bCs/>
          <w:snapToGrid w:val="0"/>
          <w:color w:val="000000"/>
          <w:sz w:val="32"/>
          <w:szCs w:val="32"/>
        </w:rPr>
        <w:t>。</w:t>
      </w:r>
      <w:r>
        <w:rPr>
          <w:rFonts w:hint="eastAsia" w:ascii="仿宋" w:hAnsi="仿宋" w:eastAsia="仿宋" w:cs="仿宋"/>
          <w:snapToGrid w:val="0"/>
          <w:color w:val="000000"/>
          <w:sz w:val="32"/>
          <w:szCs w:val="32"/>
        </w:rPr>
        <w:t>加强农村交通基础设施建设，结合村庄间联系道路的改造，构建中心村之间的交通联系，按照“集镇—中心村—村村通”的梯度层次进行建设改造，实现城乡公交一体化，100%的中心村通公共汽车。力争到2025年完成“四好农村路”建设，建设里程位居我市前列。</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加强农村供水体系建设</w:t>
      </w:r>
      <w:r>
        <w:rPr>
          <w:rFonts w:hint="eastAsia" w:ascii="仿宋" w:hAnsi="仿宋" w:eastAsia="仿宋" w:cs="仿宋"/>
          <w:snapToGrid w:val="0"/>
          <w:color w:val="000000"/>
          <w:sz w:val="32"/>
          <w:szCs w:val="32"/>
        </w:rPr>
        <w:t>，谋划推动集中供水厂、村级供水站、供水管网新建或改扩建项目，提高农村供水保障能力。推进农村饮水安全巩固提标工程建设，以城乡供水一体化和规模化为发展方向，新建改造一批规模化供水工程和小型规范化工程，提高农村自来水普及率、水质达标率、供水保证率，全面提升农村饮水安全综合保障水平。</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加快推进农户信用信息系统建设</w:t>
      </w:r>
      <w:r>
        <w:rPr>
          <w:rFonts w:hint="eastAsia" w:ascii="仿宋" w:hAnsi="仿宋" w:eastAsia="仿宋" w:cs="仿宋"/>
          <w:snapToGrid w:val="0"/>
          <w:color w:val="000000"/>
          <w:sz w:val="32"/>
          <w:szCs w:val="32"/>
        </w:rPr>
        <w:t>，</w:t>
      </w:r>
      <w:r>
        <w:rPr>
          <w:rFonts w:hint="eastAsia" w:ascii="仿宋" w:hAnsi="仿宋" w:eastAsia="仿宋" w:cs="仿宋_GB2312"/>
          <w:snapToGrid w:val="0"/>
          <w:color w:val="000000"/>
          <w:sz w:val="32"/>
          <w:szCs w:val="32"/>
        </w:rPr>
        <w:t>益农信息社覆盖所有行政村。</w:t>
      </w:r>
      <w:r>
        <w:rPr>
          <w:rFonts w:hint="eastAsia" w:ascii="仿宋" w:hAnsi="仿宋" w:eastAsia="仿宋" w:cs="仿宋"/>
          <w:snapToGrid w:val="0"/>
          <w:color w:val="000000"/>
          <w:sz w:val="32"/>
          <w:szCs w:val="32"/>
        </w:rPr>
        <w:t>加强乡村电信服务，提高农村地区宽带网络普及率，推进远程教育、远程医疗等新一代信息技术基础设施建设工程向农村延伸。</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完善相关旅游设施</w:t>
      </w:r>
      <w:r>
        <w:rPr>
          <w:rFonts w:hint="eastAsia" w:ascii="仿宋" w:hAnsi="仿宋" w:eastAsia="仿宋" w:cs="仿宋"/>
          <w:snapToGrid w:val="0"/>
          <w:color w:val="000000"/>
          <w:sz w:val="32"/>
          <w:szCs w:val="32"/>
        </w:rPr>
        <w:t>，将旅游的开发与建设农业生态区或示范区结合起来，整合乡村土地资源、林业资源；着力完善农业示范区或生态区的建设、农村林业化建设、相关的乡村旅游基础设施的建设，改善农民的生存和发展条件，以发展旅游响应乡村振兴。依托祁离高速、旅游大通道建设，在西社镇引进大型油气综合服务站、仓储物流集运站，培育扶持货物运输企业，组建物资“集散地”、“中转站”。</w:t>
      </w:r>
    </w:p>
    <w:p>
      <w:pPr>
        <w:adjustRightInd w:val="0"/>
        <w:snapToGrid w:val="0"/>
        <w:spacing w:line="560" w:lineRule="exact"/>
        <w:ind w:firstLine="640" w:firstLineChars="200"/>
        <w:jc w:val="both"/>
        <w:rPr>
          <w:rFonts w:hint="eastAsia" w:ascii="仿宋" w:hAnsi="仿宋" w:eastAsia="仿宋" w:cs="仿宋"/>
          <w:snapToGrid w:val="0"/>
          <w:color w:val="000000"/>
          <w:sz w:val="32"/>
          <w:szCs w:val="32"/>
        </w:rPr>
      </w:pPr>
      <w:r>
        <w:rPr>
          <w:rFonts w:hint="eastAsia" w:ascii="仿宋" w:hAnsi="仿宋" w:eastAsia="仿宋" w:cs="楷体"/>
          <w:snapToGrid w:val="0"/>
          <w:color w:val="000000"/>
          <w:sz w:val="32"/>
          <w:szCs w:val="32"/>
        </w:rPr>
        <w:t>完善农村享受性基础设施</w:t>
      </w:r>
      <w:r>
        <w:rPr>
          <w:rFonts w:hint="eastAsia" w:ascii="仿宋" w:hAnsi="仿宋" w:eastAsia="仿宋" w:cs="仿宋"/>
          <w:snapToGrid w:val="0"/>
          <w:color w:val="000000"/>
          <w:sz w:val="32"/>
          <w:szCs w:val="32"/>
        </w:rPr>
        <w:t>。持续推进仓储物流和农产品精深加工发展，创建省级农业龙头企业10个、市级龙头企业20个。实施农产品仓储保鲜冷链物流设施建设工程，加快产地加工配送、包装、仓储，预冷保鲜等基础建设，促进农产品鲜活流通。加快发展智慧农业，实施“互联网+”农产品出村进城工程。以农村综合网络通讯设施建设为抓手，推动县级、乡镇电子商务运营中心和村级电子商务服务站建设。推进农产品储备站点，快通中转站（农村淘宝）、电子商务中心等农村物流网络节点建设，健全县、乡（镇）、村三级物流体系，着力解决物流入村“最后一公里”问题。完善相关休闲娱乐设施，建立公园，提供休闲场所，绿化村道，改善乡村环境。</w:t>
      </w:r>
    </w:p>
    <w:p>
      <w:pPr>
        <w:adjustRightInd w:val="0"/>
        <w:snapToGrid w:val="0"/>
        <w:spacing w:line="560" w:lineRule="exact"/>
        <w:ind w:firstLine="640" w:firstLineChars="200"/>
        <w:jc w:val="both"/>
        <w:rPr>
          <w:rFonts w:ascii="仿宋" w:hAnsi="仿宋" w:eastAsia="仿宋" w:cs="仿宋"/>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16" w:name="_Toc16459"/>
      <w:bookmarkStart w:id="17" w:name="_Toc27540"/>
      <w:bookmarkStart w:id="18" w:name="_Toc71213697"/>
      <w:bookmarkStart w:id="19" w:name="_Toc12279"/>
      <w:bookmarkStart w:id="20" w:name="_Toc10012"/>
      <w:r>
        <w:rPr>
          <w:rFonts w:hint="eastAsia" w:ascii="楷体" w:hAnsi="楷体" w:eastAsia="楷体" w:cs="楷体"/>
          <w:bCs/>
          <w:snapToGrid w:val="0"/>
          <w:color w:val="000000"/>
          <w:sz w:val="32"/>
          <w:szCs w:val="32"/>
        </w:rPr>
        <w:t>第四节 大力实施乡村建设行动</w:t>
      </w:r>
      <w:bookmarkEnd w:id="16"/>
      <w:bookmarkEnd w:id="17"/>
      <w:bookmarkEnd w:id="18"/>
      <w:bookmarkEnd w:id="19"/>
      <w:bookmarkEnd w:id="20"/>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坚持把乡村建设摆在现代化建设的重要位置，持续改善农村人居环境，着力推进生态宜居乡村建设。</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强化村庄规划建设管理</w:t>
      </w:r>
      <w:r>
        <w:rPr>
          <w:rFonts w:hint="eastAsia" w:ascii="仿宋" w:hAnsi="仿宋" w:eastAsia="仿宋" w:cs="仿宋"/>
          <w:snapToGrid w:val="0"/>
          <w:color w:val="000000"/>
          <w:sz w:val="32"/>
          <w:szCs w:val="32"/>
        </w:rPr>
        <w:t>。深入实施“百村示范、千村整治"工程，强化村庄规划设计和风貌管控。科学规划村庄建筑布局，大力提升农房设计水平，加强自建房管理。开展村庄特色风貌整治，强化农房单体个性设计，提档升级农村墙面，加快打造一批具有交城特色的升级版乡村。划定乡村建设的历史文化保护线，加大历史文化名村和传统村落的文物古迹、历史建筑、传统民居修缮和保护力度，恢复传统古街巷和古院落、古街区，将乡村文化融入乡村建设。到2025年，全县村庄规划覆盖率达到90%以上。</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加强农村环境治理</w:t>
      </w:r>
      <w:r>
        <w:rPr>
          <w:rFonts w:hint="eastAsia" w:ascii="仿宋" w:hAnsi="仿宋" w:eastAsia="仿宋" w:cs="仿宋"/>
          <w:snapToGrid w:val="0"/>
          <w:color w:val="000000"/>
          <w:sz w:val="32"/>
          <w:szCs w:val="32"/>
        </w:rPr>
        <w:t>。开展农村人居环境整治示范县“三级联创”，建立长效治理机制。持续开展拆违治乱专项行动，全面清理乡村各类违法占地、违法建筑、残垣断壁、废弃建筑等，确保村落建筑整洁有序。提升农村垃圾处理水平，建立符合农村实际、方式多样的生活垃圾收集、运输处理体系，加大城市垃圾处理设施网络向农村延伸，开展农村生活垃圾分类试点。加强农村生活污水处理，高标准建设农村生活排水管网和污水处理设施，加快消除污水废水直排现象和农村黑臭水体。扎实推进农村“厕所革命”，科学规划改造农村户用厕所，加强厕所粪污无害化处理和资源化利用。统筹推进乡村生态修复与保护，综合改善田水路林村风貌。发动农户积极参与公共空间和庭院</w:t>
      </w:r>
      <w:bookmarkStart w:id="31" w:name="_GoBack"/>
      <w:bookmarkEnd w:id="31"/>
      <w:r>
        <w:rPr>
          <w:rFonts w:hint="eastAsia" w:ascii="仿宋" w:hAnsi="仿宋" w:eastAsia="仿宋" w:cs="仿宋"/>
          <w:snapToGrid w:val="0"/>
          <w:color w:val="000000"/>
          <w:sz w:val="32"/>
          <w:szCs w:val="32"/>
          <w:lang w:eastAsia="zh-CN"/>
        </w:rPr>
        <w:t>环境整治</w:t>
      </w:r>
      <w:r>
        <w:rPr>
          <w:rFonts w:hint="eastAsia" w:ascii="仿宋" w:hAnsi="仿宋" w:eastAsia="仿宋" w:cs="仿宋"/>
          <w:snapToGrid w:val="0"/>
          <w:color w:val="000000"/>
          <w:sz w:val="32"/>
          <w:szCs w:val="32"/>
        </w:rPr>
        <w:t>，持续开展村庄清洁行动，加快发展农村清洁能源。</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实施乡村绿化美化工程</w:t>
      </w:r>
      <w:r>
        <w:rPr>
          <w:rFonts w:hint="eastAsia" w:ascii="仿宋" w:hAnsi="仿宋" w:eastAsia="仿宋" w:cs="仿宋"/>
          <w:snapToGrid w:val="0"/>
          <w:color w:val="000000"/>
          <w:sz w:val="32"/>
          <w:szCs w:val="32"/>
        </w:rPr>
        <w:t xml:space="preserve">。采用“增绿、添彩、造景”方式，着力提升乡村绿化美化质量，进一步厚植我县绿色优势，持续改善农村人居生态环境，努力建设“村美、业兴、家富、人和”的生态宜居美丽乡村。“十四五”期间，以瓦窑、田家山、坡底、磁窑、蒲渠河五村联创美丽乡村为牵引，打造美丽宜居示范村30个。每年高标准推进村庄绿化5个，5年共计完成25个村庄绿化，使村庄林木覆盖率达到20%以上，拥有一处以上能满足村民活动的公共绿地。积极推进社会造林，引导各类主体参与国土绿化，协同推进部门（系统）绿化，鼓励引导社会力量参与造林植树，形成“全民共建、全民共享”生态建设成果的浓厚氛围。  </w:t>
      </w:r>
    </w:p>
    <w:p>
      <w:pPr>
        <w:pStyle w:val="3"/>
        <w:adjustRightInd w:val="0"/>
        <w:snapToGrid w:val="0"/>
        <w:spacing w:line="560" w:lineRule="exact"/>
        <w:ind w:left="0" w:leftChars="0" w:firstLine="640" w:firstLineChars="200"/>
        <w:rPr>
          <w:rFonts w:ascii="仿宋" w:hAnsi="仿宋" w:eastAsia="仿宋" w:cs="仿宋"/>
          <w:snapToGrid w:val="0"/>
          <w:color w:val="000000"/>
          <w:kern w:val="0"/>
          <w:sz w:val="32"/>
          <w:szCs w:val="32"/>
        </w:rPr>
      </w:pPr>
      <w:r>
        <w:rPr>
          <w:rFonts w:hint="eastAsia" w:ascii="仿宋" w:hAnsi="仿宋" w:eastAsia="仿宋" w:cs="楷体"/>
          <w:snapToGrid w:val="0"/>
          <w:color w:val="000000"/>
          <w:kern w:val="0"/>
          <w:sz w:val="32"/>
          <w:szCs w:val="32"/>
        </w:rPr>
        <w:t>提升乡村基础设施和公共服务水平</w:t>
      </w:r>
      <w:r>
        <w:rPr>
          <w:rFonts w:hint="eastAsia" w:ascii="仿宋" w:hAnsi="仿宋" w:eastAsia="仿宋" w:cs="仿宋"/>
          <w:snapToGrid w:val="0"/>
          <w:color w:val="000000"/>
          <w:kern w:val="0"/>
          <w:sz w:val="32"/>
          <w:szCs w:val="32"/>
        </w:rPr>
        <w:t>。加快补齐水、电、路、气、通信、广播电视、物流等农村基础设施和公共服务短板，提升农房建设质量，推动农业基础设施现代化、农村生活设施便利化、基本公共服务均等化。</w:t>
      </w:r>
    </w:p>
    <w:p>
      <w:pPr>
        <w:pStyle w:val="3"/>
        <w:adjustRightInd w:val="0"/>
        <w:snapToGrid w:val="0"/>
        <w:spacing w:line="560" w:lineRule="exact"/>
        <w:ind w:left="0" w:leftChars="0" w:firstLine="640" w:firstLineChars="200"/>
        <w:rPr>
          <w:rFonts w:ascii="仿宋" w:hAnsi="仿宋" w:eastAsia="仿宋" w:cs="仿宋"/>
          <w:snapToGrid w:val="0"/>
          <w:color w:val="000000"/>
          <w:kern w:val="0"/>
          <w:sz w:val="32"/>
          <w:szCs w:val="32"/>
        </w:rPr>
      </w:pPr>
      <w:r>
        <w:rPr>
          <w:rFonts w:hint="eastAsia" w:ascii="仿宋" w:hAnsi="仿宋" w:eastAsia="仿宋" w:cs="楷体"/>
          <w:snapToGrid w:val="0"/>
          <w:color w:val="000000"/>
          <w:kern w:val="0"/>
          <w:sz w:val="32"/>
          <w:szCs w:val="32"/>
        </w:rPr>
        <w:t>加快社区治理</w:t>
      </w:r>
      <w:r>
        <w:rPr>
          <w:rFonts w:hint="eastAsia" w:ascii="仿宋" w:hAnsi="仿宋" w:eastAsia="仿宋" w:cs="仿宋"/>
          <w:snapToGrid w:val="0"/>
          <w:color w:val="000000"/>
          <w:kern w:val="0"/>
          <w:sz w:val="32"/>
          <w:szCs w:val="32"/>
        </w:rPr>
        <w:t>。深化村民自治，推进移风易俗，建设平安乡村，提高乡村治理水平。常态化开展选派机关事业单位干部到村任职工作。指导天宁镇开展西街社区、东关社区、龙门社区试点，提高社区治理能力和水平。学习试点经验，规划并组织好十二届村委会换届选举工作。完善村(居)民自治章程，修订村规民约、居民公约，加强农村综合服务平台建设，推进基层自治、法治、德治相融合发展。</w:t>
      </w:r>
    </w:p>
    <w:tbl>
      <w:tblPr>
        <w:tblStyle w:val="4"/>
        <w:tblpPr w:leftFromText="180" w:rightFromText="180" w:vertAnchor="text" w:horzAnchor="margin" w:tblpXSpec="center" w:tblpY="64"/>
        <w:tblOverlap w:val="never"/>
        <w:tblW w:w="8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1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52" w:hRule="atLeast"/>
          <w:jc w:val="center"/>
        </w:trPr>
        <w:tc>
          <w:tcPr>
            <w:tcW w:w="8415" w:type="dxa"/>
            <w:noWrap w:val="0"/>
            <w:vAlign w:val="top"/>
          </w:tcPr>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楷体"/>
                <w:bCs/>
                <w:snapToGrid w:val="0"/>
                <w:color w:val="000000"/>
                <w:sz w:val="32"/>
                <w:szCs w:val="32"/>
              </w:rPr>
              <w:t>专栏9-2：“十四五”交城县人居环境项目（部分</w:t>
            </w:r>
            <w:r>
              <w:rPr>
                <w:rFonts w:hint="eastAsia" w:ascii="仿宋" w:hAnsi="仿宋" w:eastAsia="仿宋" w:cs="Times New Roman"/>
                <w:snapToGrid w:val="0"/>
                <w:color w:val="000000"/>
                <w:sz w:val="32"/>
                <w:szCs w:val="32"/>
              </w:rPr>
              <w:t>）</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1.人居环境类项目。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2.农村生活污水治理类工程项目。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3.市庄村乡村振兴景观建设项目。</w:t>
            </w:r>
          </w:p>
        </w:tc>
      </w:tr>
    </w:tbl>
    <w:p>
      <w:pPr>
        <w:adjustRightInd w:val="0"/>
        <w:snapToGrid w:val="0"/>
        <w:spacing w:line="560" w:lineRule="exact"/>
        <w:jc w:val="both"/>
        <w:rPr>
          <w:rFonts w:ascii="仿宋" w:hAnsi="仿宋" w:eastAsia="仿宋" w:cs="楷体"/>
          <w:bCs/>
          <w:snapToGrid w:val="0"/>
          <w:color w:val="000000"/>
          <w:sz w:val="32"/>
          <w:szCs w:val="32"/>
        </w:rPr>
      </w:pPr>
      <w:bookmarkStart w:id="21" w:name="_Toc30265"/>
      <w:bookmarkStart w:id="22" w:name="_Toc12256"/>
      <w:bookmarkStart w:id="23" w:name="_Toc31184"/>
      <w:bookmarkStart w:id="24" w:name="_Toc7907"/>
    </w:p>
    <w:p>
      <w:pPr>
        <w:widowControl/>
        <w:autoSpaceDE/>
        <w:autoSpaceDN/>
        <w:adjustRightInd w:val="0"/>
        <w:snapToGrid w:val="0"/>
        <w:spacing w:line="560" w:lineRule="exact"/>
        <w:jc w:val="center"/>
        <w:rPr>
          <w:rFonts w:ascii="楷体" w:hAnsi="楷体" w:eastAsia="楷体" w:cs="楷体"/>
          <w:bCs/>
          <w:snapToGrid w:val="0"/>
          <w:color w:val="000000"/>
          <w:sz w:val="32"/>
          <w:szCs w:val="32"/>
        </w:rPr>
      </w:pPr>
      <w:bookmarkStart w:id="25" w:name="_Toc71213698"/>
      <w:r>
        <w:rPr>
          <w:rFonts w:hint="eastAsia" w:ascii="楷体" w:hAnsi="楷体" w:eastAsia="楷体" w:cs="楷体"/>
          <w:bCs/>
          <w:snapToGrid w:val="0"/>
          <w:color w:val="000000"/>
          <w:sz w:val="32"/>
          <w:szCs w:val="32"/>
        </w:rPr>
        <w:t>第五节 深化农业农村改革</w:t>
      </w:r>
      <w:bookmarkEnd w:id="21"/>
      <w:bookmarkEnd w:id="22"/>
      <w:bookmarkEnd w:id="23"/>
      <w:bookmarkEnd w:id="24"/>
      <w:bookmarkEnd w:id="25"/>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以完善产权制度和要素市场化配置为重点，更大力度推进新一轮农村改革，切实破除制约农业农村发展的障碍，释放和激发农村发展活力，为加快农业农村现代化提供体制机制保障。</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深化农村土地制度改革</w:t>
      </w:r>
      <w:r>
        <w:rPr>
          <w:rFonts w:hint="eastAsia" w:ascii="仿宋" w:hAnsi="仿宋" w:eastAsia="仿宋" w:cs="仿宋_GB2312"/>
          <w:snapToGrid w:val="0"/>
          <w:color w:val="000000"/>
          <w:sz w:val="32"/>
          <w:szCs w:val="32"/>
        </w:rPr>
        <w:t>。落实好农村土地承包关系稳定并长久不变政策，推动第二轮土地承包到期后再延长30年的政策衔接，积极推进农村承包地所有权、承包权、经营权“三权分置”改革，平等保护土地经营权。积极引导农民以多种方式流转土地承包经营权，发展多种形式的适度规模经营。鼓励有条件的地方开展土地承包权依法自愿有偿退出试点。完善农民闲置宅基地和闲置农房政策，探索宅基地所有权、资格权、使用权“三权分置”，落实宅基地集体所有权，保障宅基地农户资格权和农民房屋财产权，适度放活宅基地和农民房屋使用权。稳慎推进农村宅基地制度改革。</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全面推进农村集体产权制度改革</w:t>
      </w:r>
      <w:r>
        <w:rPr>
          <w:rFonts w:hint="eastAsia" w:ascii="仿宋" w:hAnsi="仿宋" w:eastAsia="仿宋" w:cs="仿宋_GB2312"/>
          <w:snapToGrid w:val="0"/>
          <w:color w:val="000000"/>
          <w:sz w:val="32"/>
          <w:szCs w:val="32"/>
        </w:rPr>
        <w:t>。加快农村集体经营性资产股份合作制改革，发展壮大新型集体经济，有效盘活闲置集体资源，推动资源变资产、资金变股金，农民变股东，积极探索村村（企）联合、以资定股、集中经营、抱团发展等模式，进一步拓宽村级集体经济收益渠道。深化集体林权制度改革，规范提升造林专业合作社，盘活林地资源，真正将绿水青山变成金山银山。完善县乡农村产权流转交易市场体系，加快土地流转、土地托管、代耕代种等，引导土地经营权有序流转，发展多种形式的适度规模经营。创新农村集体经济有效组织形式和运行机制，完善农村基本经营制度。</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健全农业社会化服务体系</w:t>
      </w:r>
      <w:r>
        <w:rPr>
          <w:rFonts w:hint="eastAsia" w:ascii="仿宋" w:hAnsi="仿宋" w:eastAsia="仿宋" w:cs="仿宋_GB2312"/>
          <w:snapToGrid w:val="0"/>
          <w:color w:val="000000"/>
          <w:sz w:val="32"/>
          <w:szCs w:val="32"/>
        </w:rPr>
        <w:t>。加快培育新型农业经营主体和服务主体，深入推进生产、供销、信用“三位一体”综合合作。完善农业支持保护制度，创新财政支农方式，建立以绿色生态为导向的农业补贴制度，发挥农民合作组织生产主体作用。不断提高服务功能，扩大服务范围，加快形成以基层社区、惠农服务中心、信息资源平台为主体的生产服务模式。积极探索农业保险支持模式，发挥金融支撑作用，鼓励重点保险金融机构、农业部门联合设计多层次、可选择、不同保障水平的保险产品，建设农业融资担保机制，形成以普惠金融、资金互助、融资担保为主要形式的金融服务运作模式，增强农业抗风险能力。加快培育农业社会化服务组织，引导龙头企业通过基地建设和订单方式为农户提供全程服务，支持各类专业服务公司发展。</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推进农技农经农机“三支队伍”改革</w:t>
      </w:r>
      <w:r>
        <w:rPr>
          <w:rFonts w:hint="eastAsia" w:ascii="仿宋" w:hAnsi="仿宋" w:eastAsia="仿宋" w:cs="仿宋_GB2312"/>
          <w:snapToGrid w:val="0"/>
          <w:color w:val="000000"/>
          <w:sz w:val="32"/>
          <w:szCs w:val="32"/>
        </w:rPr>
        <w:t>。建立健全“三支队伍”培养培训、输入引进、技术研发、创业创新、奖励奖助等政策体系，全面深化农业科技体制改革，完善农技推广服务市场化机制，探索农技人员合理取酬制度。建立校企合作、工学结合的农机职业教育人才培养模式。</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实施新型农业经营主体培育工程</w:t>
      </w:r>
      <w:r>
        <w:rPr>
          <w:rFonts w:hint="eastAsia" w:ascii="仿宋" w:hAnsi="仿宋" w:eastAsia="仿宋" w:cs="仿宋_GB2312"/>
          <w:snapToGrid w:val="0"/>
          <w:color w:val="000000"/>
          <w:sz w:val="32"/>
          <w:szCs w:val="32"/>
        </w:rPr>
        <w:t>。大力培育家庭农场、农民专业合作社等新型农业经营主体，加快培育发展农业产业化联合体，大力促进各类新型农业经营主体融合发展。</w:t>
      </w:r>
    </w:p>
    <w:p>
      <w:pPr>
        <w:adjustRightInd w:val="0"/>
        <w:snapToGrid w:val="0"/>
        <w:spacing w:line="560" w:lineRule="exact"/>
        <w:jc w:val="center"/>
        <w:outlineLvl w:val="1"/>
        <w:rPr>
          <w:rFonts w:hint="eastAsia" w:ascii="仿宋" w:hAnsi="仿宋" w:eastAsia="仿宋" w:cs="楷体"/>
          <w:bCs/>
          <w:snapToGrid w:val="0"/>
          <w:color w:val="000000"/>
          <w:sz w:val="32"/>
          <w:szCs w:val="32"/>
        </w:rPr>
      </w:pPr>
      <w:bookmarkStart w:id="26" w:name="_Toc6596"/>
      <w:bookmarkStart w:id="27" w:name="_Toc5592"/>
      <w:bookmarkStart w:id="28" w:name="_Toc30203"/>
      <w:bookmarkStart w:id="29" w:name="_Toc11558"/>
      <w:bookmarkStart w:id="30" w:name="_Toc71213699"/>
    </w:p>
    <w:p>
      <w:pPr>
        <w:adjustRightInd w:val="0"/>
        <w:snapToGrid w:val="0"/>
        <w:spacing w:line="560" w:lineRule="exact"/>
        <w:jc w:val="center"/>
        <w:outlineLvl w:val="1"/>
        <w:rPr>
          <w:rFonts w:ascii="楷体" w:hAnsi="楷体" w:eastAsia="楷体" w:cs="楷体"/>
          <w:bCs/>
          <w:snapToGrid w:val="0"/>
          <w:color w:val="000000"/>
          <w:sz w:val="32"/>
          <w:szCs w:val="32"/>
        </w:rPr>
      </w:pPr>
      <w:r>
        <w:rPr>
          <w:rFonts w:hint="eastAsia" w:ascii="楷体" w:hAnsi="楷体" w:eastAsia="楷体" w:cs="楷体"/>
          <w:bCs/>
          <w:snapToGrid w:val="0"/>
          <w:color w:val="000000"/>
          <w:sz w:val="32"/>
          <w:szCs w:val="32"/>
        </w:rPr>
        <w:t>第六节 推进城乡区域融合发展</w:t>
      </w:r>
      <w:bookmarkEnd w:id="26"/>
      <w:bookmarkEnd w:id="27"/>
      <w:bookmarkEnd w:id="28"/>
      <w:bookmarkEnd w:id="29"/>
      <w:bookmarkEnd w:id="30"/>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坚持协调推进新型城镇化和城乡融合发展，增强城镇对乡村的带动能力，促进各类要素向乡村流动，建立健全城乡一体化发展体制机制，构建空间融合、产业融合、市场融合、社会融合新格局。</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健全城乡基本公共服务普惠共享机制</w:t>
      </w:r>
      <w:r>
        <w:rPr>
          <w:rFonts w:hint="eastAsia" w:ascii="仿宋" w:hAnsi="仿宋" w:eastAsia="仿宋" w:cs="仿宋_GB2312"/>
          <w:snapToGrid w:val="0"/>
          <w:color w:val="000000"/>
          <w:sz w:val="32"/>
          <w:szCs w:val="32"/>
        </w:rPr>
        <w:t>。坚持城乡公共服务均等化原则，建立健全城乡基本公共服务普惠共享机制，推动公共服务向县城周边乡村延伸、社会事业向农村覆盖，健全全民覆盖、普惠共享、城乡一体的基本公共服务体系，带动农业农村现代化和农民就地就近市民化。重视和优先发展农村教育事业，吸纳和储备优秀乡村教师，促进优质教育资源城乡共享。健全乡村医疗卫生服务体系，统筹推进医疗、医保和医药“三医联动”改革，更好解决城乡居民“看病难、看病贵”问题。健全城乡公共文化服务体系，推动文化资源重点向农村倾斜，提高服务的覆盖面和适用性。吸纳优质民办教育机构在西社镇办学，引导更多周边乡镇人口汇集。完善城乡统一的社会保险制度，加快实现各类社会保险标准统一、制度并轨。统筹城乡公共基础设施建设，围绕水、电、路、气等设施，统筹推进“四好农村路”、农村集中供热工程、城乡供水一体化工程、城乡休闲活动场所等建设，实现城乡公共交通的互联互通。</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推动城市优质资源要素更多向乡村流动</w:t>
      </w:r>
      <w:r>
        <w:rPr>
          <w:rFonts w:hint="eastAsia" w:ascii="仿宋" w:hAnsi="仿宋" w:eastAsia="仿宋" w:cs="仿宋_GB2312"/>
          <w:snapToGrid w:val="0"/>
          <w:color w:val="000000"/>
          <w:sz w:val="32"/>
          <w:szCs w:val="32"/>
        </w:rPr>
        <w:t xml:space="preserve">。建立健全城乡融合发展体制机制，推进城乡人才、技术、金融、创新等要素自由流动、平等交换和公共资源合理配置。以土地流转为抓手，严格农地性质，引入社会资本，创新合作模式，积极发展农业规模经营，发展农村集体经济，增强农村集体组织的服务功能。  </w:t>
      </w:r>
    </w:p>
    <w:p>
      <w:pPr>
        <w:widowControl/>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构建城乡统一的建设用地市场</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允许农村集体经营性建设用地入市，允许村集体在农民自愿前提下，</w:t>
      </w:r>
      <w:r>
        <w:rPr>
          <w:rFonts w:hint="eastAsia" w:ascii="仿宋" w:hAnsi="仿宋" w:eastAsia="仿宋" w:cs="仿宋"/>
          <w:snapToGrid w:val="0"/>
          <w:color w:val="000000"/>
          <w:sz w:val="32"/>
          <w:szCs w:val="32"/>
        </w:rPr>
        <w:t>允许农民集体妥善处理产权和补偿关系后，依法收回农民自愿退出的闲置宅基地、废弃的集体公益性建设用地使用权，按照国土空间规划确定的经营性用途入市。</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引导工商资本有序入乡发展</w:t>
      </w:r>
      <w:r>
        <w:rPr>
          <w:rFonts w:hint="eastAsia" w:ascii="仿宋" w:hAnsi="仿宋" w:eastAsia="仿宋" w:cs="仿宋_GB2312"/>
          <w:snapToGrid w:val="0"/>
          <w:color w:val="000000"/>
          <w:sz w:val="32"/>
          <w:szCs w:val="32"/>
        </w:rPr>
        <w:t>。培育一批城乡融合典型项目，形成承载城乡要素跨界配置的有效载体，促进农民就地就业增收，确保贫困群众稳定脱贫。加强城市和乡村之间的产业互动协作，重塑工农互促、城乡互补、全面融合、共同繁荣的新型城乡关系，逐步缩小城乡发展差距，构建合理的收入分配格局，努力实现城乡居民收入增长同步。</w:t>
      </w:r>
    </w:p>
    <w:p>
      <w:pPr>
        <w:widowControl/>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打造城乡产业协同发展先行区</w:t>
      </w:r>
      <w:r>
        <w:rPr>
          <w:rFonts w:hint="eastAsia" w:ascii="仿宋" w:hAnsi="仿宋" w:eastAsia="仿宋" w:cs="仿宋"/>
          <w:bCs/>
          <w:snapToGrid w:val="0"/>
          <w:color w:val="000000"/>
          <w:sz w:val="32"/>
          <w:szCs w:val="32"/>
        </w:rPr>
        <w:t>。以重点帮扶村、示范推进村、整体推进村为带动，建成一批文旅农旅融合、文化特色彰显、生态风貌独特的新农村。依托卦山、玄中寺、田家山、磁窑村等名刹古寺和古村落打造“文旅+”产业园区；以鑫源鑫、老农民食品等一批养殖、屠宰加工，打造畜牧养殖循环园区；依托薰衣草庄园、水上乐园等沿线旅游资源，打造休闲观光园区；以庞泉酒等交城地方名酒，打造建设酒文化园区等。在洪相乡等适宜片区引导发展设施农业、智慧农业、休闲农业、观光农业，建设现代农业示范园。</w:t>
      </w:r>
    </w:p>
    <w:p>
      <w:pPr>
        <w:widowControl/>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积极申报城乡融合发展试验区</w:t>
      </w:r>
      <w:r>
        <w:rPr>
          <w:rFonts w:hint="eastAsia" w:ascii="仿宋" w:hAnsi="仿宋" w:eastAsia="仿宋" w:cs="仿宋"/>
          <w:bCs/>
          <w:snapToGrid w:val="0"/>
          <w:color w:val="000000"/>
          <w:sz w:val="32"/>
          <w:szCs w:val="32"/>
        </w:rPr>
        <w:t>。积极申报创建省级特色小镇与城乡融合发展试验区，争取国家、省财政支持，加快培育农村产业融合示范乡镇、产业融合先导区、融合发展示范园和农业产业化联合体，创建一批城乡融合典型项目。</w:t>
      </w:r>
    </w:p>
    <w:p>
      <w:pPr>
        <w:widowControl/>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拓展产业融合宽度</w:t>
      </w:r>
      <w:r>
        <w:rPr>
          <w:rFonts w:hint="eastAsia" w:ascii="仿宋" w:hAnsi="仿宋" w:eastAsia="仿宋" w:cs="仿宋"/>
          <w:bCs/>
          <w:snapToGrid w:val="0"/>
          <w:color w:val="000000"/>
          <w:sz w:val="32"/>
          <w:szCs w:val="32"/>
        </w:rPr>
        <w:t>。开展农村一二三产业融合发展推进行动，建设一批现代农业产业园和农村产业融合发展先导区，促进农产品加工就地就近转化增值。水峪贯镇围绕山区丰富的沙棘产业，依托天汁然公司建设沙棘种植加工示范园区；西社镇紧紧围绕生态建设，大力发展白皮松、油松等绿化苗木，同时加快中药材种植和加工一体化。加快完善农村物流基础设施网络，创新农产品流通方式，推进电子商务进农村综合示范，大力发展农产品电子商务。建设一批美丽休闲乡村、乡村民宿等精品线路和农村创新创业园区，培育农村新产业新业态。</w:t>
      </w:r>
    </w:p>
    <w:p>
      <w:pPr>
        <w:widowControl/>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做大做强县域经济</w:t>
      </w:r>
      <w:r>
        <w:rPr>
          <w:rFonts w:hint="eastAsia" w:ascii="仿宋" w:hAnsi="仿宋" w:eastAsia="仿宋" w:cs="仿宋"/>
          <w:bCs/>
          <w:snapToGrid w:val="0"/>
          <w:color w:val="000000"/>
          <w:sz w:val="32"/>
          <w:szCs w:val="32"/>
        </w:rPr>
        <w:t>。全力发展县域经济，推进县域经济向城市经济升级。坚持以城聚产、以产兴城、产城融合，提升产业发展能级，加快集聚创新要素，打造县域“动力引擎”。促进园区与城镇融合发展，推进城镇工业向园区聚集，提高园区的产出效率。</w:t>
      </w:r>
    </w:p>
    <w:p>
      <w:pPr>
        <w:widowControl/>
        <w:adjustRightInd w:val="0"/>
        <w:snapToGrid w:val="0"/>
        <w:spacing w:line="560" w:lineRule="exact"/>
        <w:ind w:firstLine="640" w:firstLineChars="200"/>
        <w:jc w:val="both"/>
        <w:rPr>
          <w:rFonts w:ascii="仿宋" w:hAnsi="仿宋" w:eastAsia="仿宋" w:cs="仿宋"/>
          <w:bCs/>
          <w:snapToGrid w:val="0"/>
          <w:color w:val="000000"/>
          <w:sz w:val="32"/>
          <w:szCs w:val="32"/>
        </w:rPr>
      </w:pPr>
    </w:p>
    <w:tbl>
      <w:tblPr>
        <w:tblStyle w:val="4"/>
        <w:tblpPr w:leftFromText="180" w:rightFromText="180" w:vertAnchor="text" w:horzAnchor="page" w:tblpXSpec="center" w:tblpY="112"/>
        <w:tblOverlap w:val="never"/>
        <w:tblW w:w="8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1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90" w:hRule="atLeast"/>
          <w:jc w:val="center"/>
        </w:trPr>
        <w:tc>
          <w:tcPr>
            <w:tcW w:w="8415" w:type="dxa"/>
            <w:noWrap w:val="0"/>
            <w:vAlign w:val="top"/>
          </w:tcPr>
          <w:p>
            <w:pPr>
              <w:widowControl/>
              <w:adjustRightInd w:val="0"/>
              <w:snapToGrid w:val="0"/>
              <w:spacing w:line="560" w:lineRule="exact"/>
              <w:ind w:firstLine="200"/>
              <w:jc w:val="both"/>
              <w:rPr>
                <w:rFonts w:ascii="仿宋" w:hAnsi="仿宋" w:eastAsia="仿宋" w:cs="楷体"/>
                <w:bCs/>
                <w:snapToGrid w:val="0"/>
                <w:color w:val="000000"/>
                <w:sz w:val="32"/>
                <w:szCs w:val="32"/>
              </w:rPr>
            </w:pPr>
            <w:r>
              <w:rPr>
                <w:rFonts w:hint="eastAsia" w:ascii="仿宋" w:hAnsi="仿宋" w:eastAsia="仿宋" w:cs="楷体"/>
                <w:bCs/>
                <w:snapToGrid w:val="0"/>
                <w:color w:val="000000"/>
                <w:sz w:val="32"/>
                <w:szCs w:val="32"/>
              </w:rPr>
              <w:t>专栏9-3：“十四五”交城县重大乡村经济项目（部分）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1.虹鳟鱼养殖基地项目。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2.鑫源鑫雁门关农牧交错带示范区建设项目。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3.年屠宰16万头生猪建设项目。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4.药茶标准化产业基地建设。</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5.碧洲农牧新鲜核桃的保鲜与仓储项目。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6.交城边山红枣带产业融合发展示范园。</w:t>
            </w:r>
          </w:p>
        </w:tc>
      </w:tr>
    </w:tbl>
    <w:p>
      <w:pPr>
        <w:adjustRightInd w:val="0"/>
        <w:snapToGrid w:val="0"/>
        <w:spacing w:line="560" w:lineRule="exact"/>
        <w:ind w:firstLine="200"/>
        <w:jc w:val="both"/>
        <w:rPr>
          <w:rFonts w:ascii="仿宋" w:hAnsi="仿宋" w:eastAsia="仿宋"/>
          <w:bCs/>
          <w:snapToGrid w:val="0"/>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yZjI2NTI4NmI4OTRkZWI0NmFmNjc1NTQxODRmYjkifQ=="/>
  </w:docVars>
  <w:rsids>
    <w:rsidRoot w:val="40B329B0"/>
    <w:rsid w:val="1B2D36E4"/>
    <w:rsid w:val="40B329B0"/>
    <w:rsid w:val="58E779A6"/>
    <w:rsid w:val="642C4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99"/>
    <w:pPr>
      <w:autoSpaceDE/>
      <w:autoSpaceDN/>
      <w:jc w:val="both"/>
      <w:outlineLvl w:val="0"/>
    </w:pPr>
    <w:rPr>
      <w:rFonts w:ascii="Arial" w:hAnsi="Arial" w:cs="Arial"/>
      <w:bCs/>
      <w:kern w:val="2"/>
      <w:sz w:val="21"/>
      <w:szCs w:val="32"/>
      <w:lang w:val="en-US" w:bidi="ar-SA"/>
    </w:rPr>
  </w:style>
  <w:style w:type="paragraph" w:styleId="3">
    <w:name w:val="table of authorities"/>
    <w:basedOn w:val="1"/>
    <w:next w:val="1"/>
    <w:qFormat/>
    <w:uiPriority w:val="0"/>
    <w:pPr>
      <w:autoSpaceDE/>
      <w:autoSpaceDN/>
      <w:spacing w:line="360" w:lineRule="auto"/>
      <w:ind w:left="420" w:leftChars="200"/>
      <w:jc w:val="both"/>
    </w:pPr>
    <w:rPr>
      <w:rFonts w:ascii="Calibri" w:hAnsi="Calibri" w:cs="黑体"/>
      <w:kern w:val="2"/>
      <w:sz w:val="28"/>
      <w:lang w:val="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7950</Words>
  <Characters>7993</Characters>
  <Lines>0</Lines>
  <Paragraphs>0</Paragraphs>
  <TotalTime>3</TotalTime>
  <ScaleCrop>false</ScaleCrop>
  <LinksUpToDate>false</LinksUpToDate>
  <CharactersWithSpaces>8004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2021-10-13T01:35:00Z</dcterms:created>
  <dc:creator>蜡笔小新</dc:creator>
  <cp:lastModifiedBy>武瑢</cp:lastModifiedBy>
  <dcterms:modified xsi:type="dcterms:W3CDTF">2024-01-18T03:44:35Z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70927C864957498588135E29E3A5F4D0</vt:lpwstr>
  </property>
</Properties>
</file>