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outlineLvl w:val="0"/>
        <w:rPr>
          <w:rFonts w:hint="eastAsia" w:ascii="黑体" w:hAnsi="黑体" w:eastAsia="黑体"/>
          <w:bCs/>
          <w:snapToGrid w:val="0"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color w:val="000000"/>
          <w:sz w:val="32"/>
          <w:szCs w:val="32"/>
        </w:rPr>
        <w:t>第四章 创新驱动转型综改，加快推进国家创新型县建设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ascii="仿宋" w:hAnsi="仿宋" w:eastAsia="仿宋"/>
          <w:bCs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</w:pPr>
      <w:bookmarkStart w:id="0" w:name="_Toc10263"/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坚持把创新作为第一动力，扎实推进重点产业领域技术提升、企业创新能力提升、创新载体和平台建设、创新人才集聚、科技成果转化、创新示范区引领“六大创新工程”，高标准建设国家级创新型县。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1" w:name="_Toc1618"/>
      <w:bookmarkStart w:id="2" w:name="_Toc20569"/>
      <w:bookmarkStart w:id="3" w:name="_Toc31939"/>
      <w:bookmarkStart w:id="4" w:name="_Toc71213665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第一节 汇聚创新人才</w:t>
      </w:r>
      <w:bookmarkEnd w:id="0"/>
      <w:bookmarkEnd w:id="1"/>
      <w:bookmarkEnd w:id="2"/>
      <w:bookmarkEnd w:id="3"/>
      <w:bookmarkEnd w:id="4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深入实施“雁归兴交”行动计划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畅通各类人才引进渠道，围绕我县“4+6+N”产业体系，针对性、目的性的在“煤焦、化工、材料、装备制造”四大传统产业、“六新”产业、战略性新兴产业等领域，开展招商引才、项目引才和技术引才等专项活动，通过“候鸟式”聘任、互联网咨询等，引进高层次人才100人左右。谋划建设开发区人才公寓，</w:t>
      </w:r>
      <w:r>
        <w:rPr>
          <w:rFonts w:ascii="仿宋" w:hAnsi="仿宋" w:eastAsia="仿宋" w:cs="仿宋_GB2312"/>
          <w:snapToGrid w:val="0"/>
          <w:color w:val="000000"/>
          <w:sz w:val="32"/>
          <w:szCs w:val="32"/>
        </w:rPr>
        <w:t>让各类人才在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交城</w:t>
      </w:r>
      <w:r>
        <w:rPr>
          <w:rFonts w:ascii="仿宋" w:hAnsi="仿宋" w:eastAsia="仿宋" w:cs="仿宋_GB2312"/>
          <w:snapToGrid w:val="0"/>
          <w:color w:val="000000"/>
          <w:sz w:val="32"/>
          <w:szCs w:val="32"/>
        </w:rPr>
        <w:t>专注创新、安心创业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加大顾问指导、短期兼职、项目合作等柔性引才引智力度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着力培育和引进能够突破关键技术、带动新兴产业、突破传统技术的高层次创新创业人才，建设高水平创新团队。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落实和完善人才流动制度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建立健全符合行业特点的人才使用、流动、评价、激励体系，通过考调、挂职等多种方式，使人才在同一地区的同一行业和同一类单位之间自由流动。通过政、产、学、研合作的方式引入国内科研机构、高等院校的科研人才，为我县科技创新发展提供技术服务和人才培养，解决高端技术人才引进难和留不住的问题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实行以增加知识价值为导向的分配政策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加强对创新人才的股权、期权、分红激励。建立从实验研究、中试到生产的全过程科技创新融资模式，促进科技成果资本化产业化。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支持国内高等院校、科研机构及人员在我县创新创业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全面落实人才引进系列优惠政策和补贴措施。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壮大高水平工程师和高技能人才队伍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以交城职业教育产教融合园建设为契机，围绕我县产业特点，进行创新型、应用型、技能型人才培养，实施知识更新工程、技能提升行动。</w:t>
      </w:r>
    </w:p>
    <w:p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5" w:name="_Toc14135"/>
      <w:bookmarkStart w:id="6" w:name="_Toc71213666"/>
      <w:bookmarkStart w:id="7" w:name="_Toc10650"/>
      <w:bookmarkStart w:id="8" w:name="_Toc28965"/>
      <w:bookmarkStart w:id="9" w:name="_Toc23580"/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第二节 培育创新主体</w:t>
      </w:r>
      <w:bookmarkEnd w:id="5"/>
      <w:bookmarkEnd w:id="6"/>
      <w:bookmarkEnd w:id="7"/>
      <w:bookmarkEnd w:id="8"/>
      <w:bookmarkEnd w:id="9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强化企业创新主体地位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大力培育创新主体，发挥大企业引领作用，支持创新型中小微企业、专精特新企业、独角兽企业和科技领军型企业成长为创新重要发源地，“</w:t>
      </w:r>
      <w:bookmarkStart w:id="25" w:name="_GoBack"/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十四五</w:t>
      </w:r>
      <w:bookmarkEnd w:id="25"/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”末全县高新技术企业力争突破40户，以“交城创谷”为载体打造双创升级版，构建“创业苗圃+孵化器+加速器+产业园”的双创全产业链培育体系。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推进产学研深度融合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支持企业牵头组建创新联合体，承担国家、省、市重大科技项目。发挥企业家在技术创新中的重要作用，鼓励企业加大研发投入，对企业投入基础研究实行税收优惠。发挥大企业引领支撑作用，支持创新型中小微企业成长为重要创新发源地，推动产业链上中下游、大中小企业融通创新。加强与各科研院校的合作，深入实施与同济大学合作研发新产品，继续推进与山西中北大学共同成立“中北—利虎特种玻璃研究院”更深层次的展开研发合作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hint="eastAsia" w:ascii="仿宋" w:hAnsi="仿宋" w:eastAsia="仿宋" w:cs="仿宋"/>
          <w:bCs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围绕“核心业态、关联业态、衍生业态”</w:t>
      </w:r>
      <w:r>
        <w:rPr>
          <w:rFonts w:hint="eastAsia" w:ascii="仿宋" w:hAnsi="仿宋" w:eastAsia="仿宋" w:cs="楷体"/>
          <w:bCs/>
          <w:snapToGrid w:val="0"/>
          <w:color w:val="000000"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bCs/>
          <w:snapToGrid w:val="0"/>
          <w:color w:val="000000"/>
          <w:kern w:val="0"/>
          <w:sz w:val="32"/>
          <w:szCs w:val="32"/>
        </w:rPr>
        <w:t>打造与创新创业关联的研发、孵化等产业链条，围绕我县“4+6+N产业体系”，着力构建“核心产业+创新应用+关联产业”三位一体的产业体系。依托科学技术加快传统产业转型升级，持续落实“千企改造”工程，加强关键技术和先进工艺的高端化改造，打造传统产业发展新优势。</w:t>
      </w:r>
    </w:p>
    <w:p>
      <w:pPr>
        <w:rPr>
          <w:rFonts w:hint="eastAsia" w:ascii="仿宋" w:hAnsi="仿宋" w:eastAsia="仿宋"/>
          <w:sz w:val="32"/>
          <w:szCs w:val="32"/>
          <w:lang w:val="en-US" w:bidi="ar-SA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10" w:name="_Toc5632"/>
      <w:bookmarkStart w:id="11" w:name="_Toc23099"/>
      <w:bookmarkStart w:id="12" w:name="_Toc71213667"/>
      <w:bookmarkStart w:id="13" w:name="_Toc28803"/>
      <w:bookmarkStart w:id="14" w:name="_Toc7060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第三节 建设创新平台</w:t>
      </w:r>
      <w:bookmarkEnd w:id="10"/>
      <w:bookmarkEnd w:id="11"/>
      <w:bookmarkEnd w:id="12"/>
      <w:bookmarkEnd w:id="13"/>
      <w:bookmarkEnd w:id="14"/>
    </w:p>
    <w:p>
      <w:pPr>
        <w:pStyle w:val="4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构建完善科技创新平台体系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集中资源建成一批国家、省级工程（技术）研究中心和企业技术中心，实现重点产业、重点企业技术研究中心全覆盖。鼓励有条件的企业与国内外科研机构、高等院校联合建立工程技术研究中心，并与院士、博士后等行业顶尖团队合作。推广恩泽生物氨基酸科研技术中心与国内外科研机构、高等院校对接协调的经验与做法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加快推进企业创新创业示范基地建设，推广复制中鼎云铸产业技术创新联盟模式，推动跨领域跨行业协同创新。“十四五”期间，每年认定2户省级以上企业技术中心、5户以上市级企业技术中心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。</w:t>
      </w:r>
    </w:p>
    <w:p>
      <w:pPr>
        <w:pStyle w:val="4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培育经济开发区作为创新示范园区等创新平台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培育一批基于互联网的大企业创新创业平台、推进小微企业创新创业示范基地建设，支持建设制造业“双创”技术转移中心和服务平台，加快形成大中小企业专业化分工协作的产业供应链体系。</w:t>
      </w:r>
    </w:p>
    <w:p>
      <w:pPr>
        <w:pStyle w:val="4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以建设国家创新型县为契机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，围绕煤电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+循环经济产业，打造煤电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冶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+高端装备制造业、煤电建+新型建材产业、煤电化+现代化工产业为一体资源综合利用示范产业园。将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经济开发区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培育成省级及以上科技企业孵化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基地。</w:t>
      </w:r>
    </w:p>
    <w:tbl>
      <w:tblPr>
        <w:tblStyle w:val="5"/>
        <w:tblpPr w:leftFromText="180" w:rightFromText="180" w:vertAnchor="text" w:horzAnchor="page" w:tblpX="1895" w:tblpY="197"/>
        <w:tblOverlap w:val="never"/>
        <w:tblW w:w="852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专栏4-1：“十四五”交城县中试、实验室项目（部分）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jc w:val="both"/>
              <w:rPr>
                <w:rFonts w:ascii="仿宋" w:hAnsi="仿宋" w:eastAsia="仿宋"/>
                <w:snapToGrid w:val="0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/>
                <w:snapToGrid w:val="0"/>
                <w:color w:val="000000"/>
                <w:sz w:val="32"/>
                <w:szCs w:val="32"/>
              </w:rPr>
              <w:t>1.废SCR脱硝催化剂综合回收利用中试基地</w:t>
            </w:r>
            <w:r>
              <w:rPr>
                <w:rFonts w:hint="eastAsia" w:ascii="仿宋" w:hAnsi="仿宋" w:eastAsia="仿宋"/>
                <w:snapToGrid w:val="0"/>
                <w:color w:val="000000"/>
                <w:sz w:val="32"/>
                <w:szCs w:val="32"/>
              </w:rPr>
              <w:t>。</w:t>
            </w:r>
          </w:p>
        </w:tc>
      </w:tr>
    </w:tbl>
    <w:p>
      <w:pPr>
        <w:pStyle w:val="4"/>
        <w:adjustRightInd w:val="0"/>
        <w:snapToGrid w:val="0"/>
        <w:spacing w:line="560" w:lineRule="exact"/>
        <w:ind w:firstLine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15" w:name="_Toc16478"/>
      <w:bookmarkStart w:id="16" w:name="_Toc17855"/>
      <w:bookmarkStart w:id="17" w:name="_Toc71213668"/>
      <w:bookmarkStart w:id="18" w:name="_Toc15557"/>
      <w:bookmarkStart w:id="19" w:name="_Toc21627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第四节 培育创新文化</w:t>
      </w:r>
      <w:bookmarkEnd w:id="15"/>
      <w:bookmarkEnd w:id="16"/>
      <w:bookmarkEnd w:id="17"/>
      <w:bookmarkEnd w:id="18"/>
      <w:bookmarkEnd w:id="19"/>
    </w:p>
    <w:p>
      <w:pPr>
        <w:pStyle w:val="4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探索一条将吕梁精神融入科技创新的发展新路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在全县树立崇尚科学、崇尚创新、崇尚人才的鲜明导向，注重用创新文化激发创新精神、推动创新实践、激励创新事业，形成大胆创新、勇于创新、包容创新的良好氛围。</w:t>
      </w:r>
    </w:p>
    <w:p>
      <w:pPr>
        <w:pStyle w:val="4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大力弘扬工匠精神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引导全县人民追求卓越、锐意创新。全面提升公民创新意识和科学素质。发展科普教育产业，建设一批科学家精神教育基地，培养全县人民探索科技奥秘的好奇心。</w:t>
      </w:r>
    </w:p>
    <w:p>
      <w:pPr>
        <w:pStyle w:val="4"/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实施青少年科学素质提升行动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加强基础学科拔尖学生培养，吸引最优秀的学生投身基础研究。实施劳动者科学素质提升行动和领导班子、干部队伍科学素质提升行动，提升终身学习和科学管理能力。</w:t>
      </w:r>
    </w:p>
    <w:p>
      <w:pPr>
        <w:pStyle w:val="4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20" w:name="_Toc14520"/>
      <w:bookmarkStart w:id="21" w:name="_Toc71213669"/>
      <w:bookmarkStart w:id="22" w:name="_Toc3656"/>
      <w:bookmarkStart w:id="23" w:name="_Toc6923"/>
      <w:bookmarkStart w:id="24" w:name="_Toc11351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第五节 健全科技创新体制机制</w:t>
      </w:r>
      <w:bookmarkEnd w:id="20"/>
      <w:bookmarkEnd w:id="21"/>
      <w:bookmarkEnd w:id="22"/>
      <w:bookmarkEnd w:id="23"/>
      <w:bookmarkEnd w:id="24"/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优化科技管理运行机制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根据交城县委的安排部署，在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  <w:lang w:eastAsia="zh-CN"/>
        </w:rPr>
        <w:t>“十四五”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期间，重点打造“两区五基地”，推动“4+6+N”产业体系项目、基地、人才、资金一体化配置。完善科技评价机制，优化科技奖励项目。加强知识产权保护，大幅提高科技成果转移转化成效。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改进科技项目组织管理方式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，实行科技攻关“揭榜挂帅”，探索科技经费使用包干制、承诺制改革。加强知识产权保护，完善科技成果转移转化激励政策。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加大研发投入力度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，建立政府引导、市场驱动、企业主体的多元化研发投入体系</w:t>
      </w:r>
      <w:r>
        <w:rPr>
          <w:rFonts w:ascii="仿宋" w:hAnsi="仿宋" w:eastAsia="仿宋" w:cs="仿宋_GB2312"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建立以企业为主体的产学研资用一体化科技研发机制，</w:t>
      </w:r>
      <w:r>
        <w:rPr>
          <w:rFonts w:ascii="仿宋" w:hAnsi="仿宋" w:eastAsia="仿宋" w:cs="仿宋_GB2312"/>
          <w:snapToGrid w:val="0"/>
          <w:color w:val="000000"/>
          <w:sz w:val="32"/>
          <w:szCs w:val="32"/>
        </w:rPr>
        <w:t>健全全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县科学研究与试验发展</w:t>
      </w:r>
      <w:r>
        <w:rPr>
          <w:rFonts w:ascii="仿宋" w:hAnsi="仿宋" w:eastAsia="仿宋" w:cs="仿宋_GB2312"/>
          <w:snapToGrid w:val="0"/>
          <w:color w:val="000000"/>
          <w:sz w:val="32"/>
          <w:szCs w:val="32"/>
        </w:rPr>
        <w:t>（R&amp;D）经费支持体系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，经费支出占一般公共预算的1%，力争全县各行业投入科学研究与试验发展（R&amp;D）经费投入进入全省前列，稳守吕梁第一。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yZjI2NTI4NmI4OTRkZWI0NmFmNjc1NTQxODRmYjkifQ=="/>
  </w:docVars>
  <w:rsids>
    <w:rsidRoot w:val="1BFD4E85"/>
    <w:rsid w:val="1BFD4E85"/>
    <w:rsid w:val="53683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autoSpaceDE/>
      <w:autoSpaceDN/>
      <w:jc w:val="both"/>
      <w:outlineLvl w:val="0"/>
    </w:pPr>
    <w:rPr>
      <w:rFonts w:ascii="Arial" w:hAnsi="Arial" w:cs="Arial"/>
      <w:bCs/>
      <w:kern w:val="2"/>
      <w:sz w:val="21"/>
      <w:szCs w:val="32"/>
      <w:lang w:val="en-US" w:bidi="ar-SA"/>
    </w:rPr>
  </w:style>
  <w:style w:type="paragraph" w:styleId="3">
    <w:name w:val="table of authorities"/>
    <w:basedOn w:val="1"/>
    <w:next w:val="1"/>
    <w:qFormat/>
    <w:uiPriority w:val="0"/>
    <w:pPr>
      <w:autoSpaceDE/>
      <w:autoSpaceDN/>
      <w:spacing w:line="360" w:lineRule="auto"/>
      <w:ind w:left="420" w:leftChars="200"/>
      <w:jc w:val="both"/>
    </w:pPr>
    <w:rPr>
      <w:rFonts w:ascii="Calibri" w:hAnsi="Calibri" w:cs="黑体"/>
      <w:kern w:val="2"/>
      <w:sz w:val="28"/>
      <w:lang w:val="en-US" w:bidi="ar-SA"/>
    </w:rPr>
  </w:style>
  <w:style w:type="paragraph" w:styleId="4">
    <w:name w:val="Body Text"/>
    <w:basedOn w:val="1"/>
    <w:qFormat/>
    <w:uiPriority w:val="1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2315</Words>
  <Characters>2340</Characters>
  <Lines>0</Lines>
  <Paragraphs>0</Paragraphs>
  <TotalTime>0</TotalTime>
  <ScaleCrop>false</ScaleCrop>
  <LinksUpToDate>false</LinksUpToDate>
  <CharactersWithSpaces>2346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2021-10-13T01:29:00Z</dcterms:created>
  <dc:creator>蜡笔小新</dc:creator>
  <cp:lastModifiedBy>武瑢</cp:lastModifiedBy>
  <dcterms:modified xsi:type="dcterms:W3CDTF">2023-07-14T09:52:36Z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E04A7D7E1A2D4D7EB69A2EC7C6675CBE</vt:lpwstr>
  </property>
</Properties>
</file>